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R5-222741</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1698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6.4.2.1a EVM including symbols with transient period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TEI16_Test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Update with latest changes in TS 38.101-1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All square brackets around tpstart and EVM values in minimum requirement are removed.</w:t>
            </w:r>
          </w:p>
          <w:p>
            <w:pPr>
              <w:pStyle w:val="CRCoverPage"/>
              <w:spacing w:after="0"/>
              <w:rPr>
                <w:noProof/>
              </w:rPr>
            </w:pPr>
            <w:r>
              <w:rPr>
                <w:noProof/>
              </w:rPr>
              <w:t>Removed square brackets around EVM values in Table 6.4.2.1a.5-1</w:t>
            </w:r>
          </w:p>
          <w:p>
            <w:pPr>
              <w:pStyle w:val="CRCoverPage"/>
              <w:spacing w:after="0"/>
              <w:rPr>
                <w:noProof/>
              </w:rPr>
            </w:pPr>
            <w:r>
              <w:rPr>
                <w:noProof/>
              </w:rPr>
              <w:t>Removed Editor’s note.</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6.4.2.1a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color w:val="000000"/>
                <w:lang w:val="fr-FR"/>
              </w:rPr>
              <w:t xml:space="preserve">RAN4 CR dependency </w:t>
            </w:r>
            <w:r>
              <w:rPr>
                <w:noProof/>
                <w:highlight w:val="yellow"/>
              </w:rPr>
              <w:t>R4-2210227</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yellow"/>
              </w:rPr>
              <w:t>R5-222741r1</w:t>
            </w:r>
            <w:r>
              <w:rPr>
                <w:noProof/>
                <w:highlight w:val="yellow"/>
              </w:rPr>
              <w:t xml:space="preserve"> changes:</w:t>
            </w:r>
          </w:p>
          <w:p>
            <w:pPr>
              <w:pStyle w:val="CRCoverPage"/>
              <w:spacing w:after="0"/>
              <w:ind w:left="100"/>
              <w:rPr>
                <w:noProof/>
              </w:rPr>
            </w:pPr>
            <w:r>
              <w:rPr>
                <w:noProof/>
                <w:highlight w:val="yellow"/>
              </w:rPr>
              <w:t xml:space="preserve">– added RAN4 dependent CR number </w:t>
            </w:r>
            <w:r>
              <w:rPr>
                <w:noProof/>
                <w:highlight w:val="yellow"/>
              </w:rPr>
              <w:t>R4-2210227</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r>
        <w:t>6.4.2.1a</w:t>
      </w:r>
      <w:r>
        <w:tab/>
        <w:t>Error Vector Magnitude including symbols with transient period</w:t>
      </w:r>
    </w:p>
    <w:p>
      <w:pPr>
        <w:pStyle w:val="EditorsNote"/>
        <w:rPr>
          <w:del w:id="1" w:author="Kevin Wang (QMC)" w:date="2022-04-18T14:59:00Z"/>
          <w:rFonts w:eastAsia="MS Mincho"/>
        </w:rPr>
      </w:pPr>
      <w:del w:id="2" w:author="Kevin Wang (QMC)" w:date="2022-04-18T14:59:00Z">
        <w:r>
          <w:delText>Editor’s note: This clause is incomplete. The following aspects are either missing or not yet determined:</w:delText>
        </w:r>
      </w:del>
    </w:p>
    <w:p>
      <w:pPr>
        <w:pStyle w:val="EditorsNote"/>
        <w:numPr>
          <w:ilvl w:val="0"/>
          <w:numId w:val="1"/>
        </w:numPr>
        <w:overflowPunct w:val="0"/>
        <w:autoSpaceDE w:val="0"/>
        <w:autoSpaceDN w:val="0"/>
        <w:adjustRightInd w:val="0"/>
        <w:textAlignment w:val="baseline"/>
        <w:rPr>
          <w:del w:id="3" w:author="Kevin Wang (QMC)" w:date="2022-04-18T14:59:00Z"/>
        </w:rPr>
      </w:pPr>
      <w:del w:id="4" w:author="Kevin Wang (QMC)" w:date="2022-04-18T14:59:00Z">
        <w:r>
          <w:rPr>
            <w:lang w:eastAsia="zh-CN"/>
          </w:rPr>
          <w:delText>In the minimum conformance requirements the start position of the EVM exclusion window, the number of subframes, and the EVM values are in square brackets.</w:delText>
        </w:r>
      </w:del>
    </w:p>
    <w:p>
      <w:pPr>
        <w:pStyle w:val="H6"/>
      </w:pPr>
      <w:r>
        <w:t>6.4.2.1a.1</w:t>
      </w:r>
      <w:r>
        <w:tab/>
        <w:t>Test Purpose</w:t>
      </w:r>
    </w:p>
    <w:p>
      <w: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Pr>
          <w:lang w:eastAsia="zh-CN"/>
        </w:rPr>
        <w:t>before calculating the EVM</w:t>
      </w:r>
      <w:r>
        <w:t>.</w:t>
      </w:r>
    </w:p>
    <w:p>
      <w:pPr>
        <w:pStyle w:val="H6"/>
      </w:pPr>
      <w:r>
        <w:t>6.4.2.1a.2</w:t>
      </w:r>
      <w:r>
        <w:tab/>
        <w:t>Test applicability</w:t>
      </w:r>
    </w:p>
    <w:p>
      <w:pPr>
        <w:rPr>
          <w:rFonts w:eastAsia="MS Mincho"/>
        </w:rPr>
      </w:pPr>
      <w:r>
        <w:t>This test case applies to all types of NR UE release 16 and forward that support short transient period capability.</w:t>
      </w:r>
    </w:p>
    <w:p>
      <w:pPr>
        <w:pStyle w:val="H6"/>
      </w:pPr>
      <w:r>
        <w:t>6.4.2.1a.3</w:t>
      </w:r>
      <w:r>
        <w:tab/>
        <w:t>Minimum conformance requirements</w:t>
      </w:r>
    </w:p>
    <w:p>
      <w: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bookmarkStart w:id="5" w:name="_Hlk37237311"/>
      <w:r>
        <w:t>In the case of PUSCH or PUCCH transmissions when the mean power, modulation or RB allocation across slot or subslot boundaries is expected to change the EVM result over the symbols where the transient occurs is calculated according to Table 6.4.2.1a.3-1.</w:t>
      </w:r>
    </w:p>
    <w:p>
      <w:pPr>
        <w:pStyle w:val="TH"/>
      </w:pPr>
      <w:bookmarkStart w:id="6" w:name="_Hlk37255905"/>
      <w:bookmarkEnd w:id="5"/>
      <w:r>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trPr>
          <w:trHeight w:val="225"/>
          <w:tblHeader/>
          <w:jc w:val="center"/>
        </w:trPr>
        <w:tc>
          <w:tcPr>
            <w:tcW w:w="2335" w:type="dxa"/>
            <w:tcMar>
              <w:top w:w="0" w:type="dxa"/>
              <w:left w:w="108" w:type="dxa"/>
              <w:bottom w:w="0" w:type="dxa"/>
              <w:right w:w="108" w:type="dxa"/>
            </w:tcMar>
            <w:vAlign w:val="center"/>
            <w:hideMark/>
          </w:tcPr>
          <w:p>
            <w:pPr>
              <w:pStyle w:val="TAH"/>
              <w:rPr>
                <w:szCs w:val="18"/>
              </w:rPr>
            </w:pPr>
            <w:r>
              <w:t>Reported transient capability (us)</w:t>
            </w:r>
          </w:p>
        </w:tc>
        <w:tc>
          <w:tcPr>
            <w:tcW w:w="3047" w:type="dxa"/>
            <w:tcMar>
              <w:top w:w="0" w:type="dxa"/>
              <w:left w:w="108" w:type="dxa"/>
              <w:bottom w:w="0" w:type="dxa"/>
              <w:right w:w="108" w:type="dxa"/>
            </w:tcMar>
            <w:vAlign w:val="center"/>
            <w:hideMark/>
          </w:tcPr>
          <w:p>
            <w:pPr>
              <w:pStyle w:val="TAH"/>
              <w:rPr>
                <w:sz w:val="20"/>
              </w:rPr>
            </w:pPr>
            <w:r>
              <w:t>EVM definition</w:t>
            </w:r>
          </w:p>
        </w:tc>
        <w:tc>
          <w:tcPr>
            <w:tcW w:w="1543" w:type="dxa"/>
            <w:vAlign w:val="center"/>
          </w:tcPr>
          <w:p>
            <w:pPr>
              <w:pStyle w:val="TAH"/>
            </w:pPr>
            <w:r>
              <w:t>tp</w:t>
            </w:r>
            <w:r>
              <w:rPr>
                <w:vertAlign w:val="subscript"/>
              </w:rPr>
              <w:t>start</w:t>
            </w:r>
            <w:r>
              <w:t xml:space="preserve"> (µs)</w:t>
            </w:r>
          </w:p>
        </w:tc>
        <w:tc>
          <w:tcPr>
            <w:tcW w:w="1543" w:type="dxa"/>
            <w:tcMar>
              <w:top w:w="0" w:type="dxa"/>
              <w:left w:w="108" w:type="dxa"/>
              <w:bottom w:w="0" w:type="dxa"/>
              <w:right w:w="108" w:type="dxa"/>
            </w:tcMar>
            <w:vAlign w:val="center"/>
            <w:hideMark/>
          </w:tcPr>
          <w:p>
            <w:pPr>
              <w:pStyle w:val="TAH"/>
            </w:pPr>
            <w:r>
              <w:t>SCS</w:t>
            </w:r>
            <w:r>
              <w:rPr>
                <w:vertAlign w:val="superscript"/>
              </w:rPr>
              <w:t>4</w:t>
            </w:r>
          </w:p>
        </w:tc>
      </w:tr>
      <w:tr>
        <w:trPr>
          <w:trHeight w:val="225"/>
          <w:jc w:val="center"/>
        </w:trPr>
        <w:tc>
          <w:tcPr>
            <w:tcW w:w="2335" w:type="dxa"/>
            <w:tcMar>
              <w:top w:w="0" w:type="dxa"/>
              <w:left w:w="108" w:type="dxa"/>
              <w:bottom w:w="0" w:type="dxa"/>
              <w:right w:w="108" w:type="dxa"/>
            </w:tcMar>
            <w:vAlign w:val="center"/>
            <w:hideMark/>
          </w:tcPr>
          <w:p>
            <w:pPr>
              <w:pStyle w:val="TAC"/>
            </w:pPr>
            <w:r>
              <w:t>2</w:t>
            </w:r>
          </w:p>
        </w:tc>
        <w:tc>
          <w:tcPr>
            <w:tcW w:w="3047" w:type="dxa"/>
            <w:tcMar>
              <w:top w:w="0" w:type="dxa"/>
              <w:left w:w="108" w:type="dxa"/>
              <w:bottom w:w="0" w:type="dxa"/>
              <w:right w:w="108" w:type="dxa"/>
            </w:tcMar>
            <w:vAlign w:val="center"/>
            <w:hideMark/>
          </w:tcPr>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pPr>
              <w:pStyle w:val="TAC"/>
            </w:pPr>
            <w:del w:id="7" w:author="Kevin Wang (QMC)" w:date="2022-04-18T14:54:00Z">
              <w:r>
                <w:delText>[</w:delText>
              </w:r>
            </w:del>
            <w:r>
              <w:t>-0.5</w:t>
            </w:r>
            <w:del w:id="8" w:author="Kevin Wang (QMC)" w:date="2022-04-18T14:54:00Z">
              <w:r>
                <w:delText>]</w:delText>
              </w:r>
            </w:del>
          </w:p>
        </w:tc>
        <w:tc>
          <w:tcPr>
            <w:tcW w:w="1543" w:type="dxa"/>
            <w:tcMar>
              <w:top w:w="0" w:type="dxa"/>
              <w:left w:w="108" w:type="dxa"/>
              <w:bottom w:w="0" w:type="dxa"/>
              <w:right w:w="108" w:type="dxa"/>
            </w:tcMar>
            <w:hideMark/>
          </w:tcPr>
          <w:p>
            <w:pPr>
              <w:pStyle w:val="TAC"/>
            </w:pPr>
            <w:r>
              <w:t>15kHz or 30kHz</w:t>
            </w:r>
            <w:r>
              <w:rPr>
                <w:vertAlign w:val="superscript"/>
              </w:rPr>
              <w:t>5</w:t>
            </w:r>
          </w:p>
          <w:p>
            <w:pPr>
              <w:pStyle w:val="TAC"/>
            </w:pPr>
          </w:p>
        </w:tc>
      </w:tr>
      <w:tr>
        <w:trPr>
          <w:trHeight w:val="225"/>
          <w:jc w:val="center"/>
        </w:trPr>
        <w:tc>
          <w:tcPr>
            <w:tcW w:w="2335" w:type="dxa"/>
            <w:tcMar>
              <w:top w:w="0" w:type="dxa"/>
              <w:left w:w="108" w:type="dxa"/>
              <w:bottom w:w="0" w:type="dxa"/>
              <w:right w:w="108" w:type="dxa"/>
            </w:tcMar>
            <w:vAlign w:val="center"/>
            <w:hideMark/>
          </w:tcPr>
          <w:p>
            <w:pPr>
              <w:pStyle w:val="TAC"/>
            </w:pPr>
            <w:r>
              <w:t>4</w:t>
            </w:r>
          </w:p>
        </w:tc>
        <w:tc>
          <w:tcPr>
            <w:tcW w:w="3047" w:type="dxa"/>
            <w:tcMar>
              <w:top w:w="0" w:type="dxa"/>
              <w:left w:w="108" w:type="dxa"/>
              <w:bottom w:w="0" w:type="dxa"/>
              <w:right w:w="108" w:type="dxa"/>
            </w:tcMar>
            <w:vAlign w:val="center"/>
            <w:hideMark/>
          </w:tcPr>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pPr>
              <w:pStyle w:val="TAC"/>
            </w:pPr>
            <w:del w:id="9" w:author="Kevin Wang (QMC)" w:date="2022-04-18T14:54:00Z">
              <w:r>
                <w:delText>[</w:delText>
              </w:r>
            </w:del>
            <w:r>
              <w:t>-1</w:t>
            </w:r>
            <w:del w:id="10" w:author="Kevin Wang (QMC)" w:date="2022-04-18T14:54:00Z">
              <w:r>
                <w:delText>]</w:delText>
              </w:r>
            </w:del>
          </w:p>
        </w:tc>
        <w:tc>
          <w:tcPr>
            <w:tcW w:w="1543" w:type="dxa"/>
            <w:tcMar>
              <w:top w:w="0" w:type="dxa"/>
              <w:left w:w="108" w:type="dxa"/>
              <w:bottom w:w="0" w:type="dxa"/>
              <w:right w:w="108" w:type="dxa"/>
            </w:tcMar>
            <w:hideMark/>
          </w:tcPr>
          <w:p>
            <w:pPr>
              <w:pStyle w:val="TAC"/>
            </w:pPr>
            <w:r>
              <w:t>15kHz</w:t>
            </w:r>
          </w:p>
          <w:p>
            <w:pPr>
              <w:pStyle w:val="TAC"/>
            </w:pPr>
          </w:p>
        </w:tc>
      </w:tr>
      <w:tr>
        <w:trPr>
          <w:trHeight w:val="225"/>
          <w:jc w:val="center"/>
        </w:trPr>
        <w:tc>
          <w:tcPr>
            <w:tcW w:w="2335" w:type="dxa"/>
            <w:tcMar>
              <w:top w:w="0" w:type="dxa"/>
              <w:left w:w="108" w:type="dxa"/>
              <w:bottom w:w="0" w:type="dxa"/>
              <w:right w:w="108" w:type="dxa"/>
            </w:tcMar>
            <w:vAlign w:val="center"/>
            <w:hideMark/>
          </w:tcPr>
          <w:p>
            <w:pPr>
              <w:pStyle w:val="TAC"/>
            </w:pPr>
            <w:r>
              <w:t>7</w:t>
            </w:r>
          </w:p>
        </w:tc>
        <w:tc>
          <w:tcPr>
            <w:tcW w:w="3047" w:type="dxa"/>
            <w:tcMar>
              <w:top w:w="0" w:type="dxa"/>
              <w:left w:w="108" w:type="dxa"/>
              <w:bottom w:w="0" w:type="dxa"/>
              <w:right w:w="108" w:type="dxa"/>
            </w:tcMar>
            <w:vAlign w:val="center"/>
            <w:hideMark/>
          </w:tcPr>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pPr>
              <w:pStyle w:val="TAC"/>
            </w:pPr>
            <w:del w:id="11" w:author="Kevin Wang (QMC)" w:date="2022-04-18T14:54:00Z">
              <w:r>
                <w:delText>[</w:delText>
              </w:r>
            </w:del>
            <w:r>
              <w:t>-2</w:t>
            </w:r>
            <w:ins w:id="12" w:author="Kevin Wang (QMC)" w:date="2022-04-18T14:54:00Z">
              <w:r>
                <w:t>.7</w:t>
              </w:r>
            </w:ins>
            <w:del w:id="13" w:author="Kevin Wang (QMC)" w:date="2022-04-18T14:54:00Z">
              <w:r>
                <w:delText>]</w:delText>
              </w:r>
            </w:del>
          </w:p>
        </w:tc>
        <w:tc>
          <w:tcPr>
            <w:tcW w:w="1543" w:type="dxa"/>
            <w:tcMar>
              <w:top w:w="0" w:type="dxa"/>
              <w:left w:w="108" w:type="dxa"/>
              <w:bottom w:w="0" w:type="dxa"/>
              <w:right w:w="108" w:type="dxa"/>
            </w:tcMar>
            <w:hideMark/>
          </w:tcPr>
          <w:p>
            <w:pPr>
              <w:pStyle w:val="TAC"/>
            </w:pPr>
            <w:r>
              <w:t>15kHz</w:t>
            </w:r>
          </w:p>
          <w:p>
            <w:pPr>
              <w:pStyle w:val="TAC"/>
            </w:pPr>
          </w:p>
        </w:tc>
      </w:tr>
      <w:tr>
        <w:trPr>
          <w:trHeight w:val="225"/>
          <w:jc w:val="center"/>
        </w:trPr>
        <w:tc>
          <w:tcPr>
            <w:tcW w:w="8468" w:type="dxa"/>
            <w:gridSpan w:val="4"/>
          </w:tcPr>
          <w:p>
            <w:pPr>
              <w:pStyle w:val="TAN"/>
              <w:rPr>
                <w:rFonts w:cs="Arial"/>
              </w:rPr>
            </w:pPr>
            <w:r>
              <w:rPr>
                <w:rFonts w:cs="Arial"/>
              </w:rPr>
              <w:t>NOTE 1:</w:t>
            </w:r>
            <w:r>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Pr>
                <w:rFonts w:cs="Arial"/>
                <w:iCs/>
              </w:rPr>
              <w:t xml:space="preserve"> </w:t>
            </w:r>
            <w:r>
              <w:rPr>
                <w:rFonts w:cs="Arial"/>
              </w:rPr>
              <w:t>are defined in Annex E.4.7</w:t>
            </w:r>
          </w:p>
          <w:p>
            <w:pPr>
              <w:pStyle w:val="TAN"/>
            </w:pPr>
            <w:r>
              <w:t>NOTE 2:</w:t>
            </w:r>
            <w:r>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t xml:space="preserve"> is the EVM for a symbol right before a transition</w:t>
            </w:r>
          </w:p>
          <w:p>
            <w:pPr>
              <w:pStyle w:val="TAN"/>
            </w:pPr>
            <w:r>
              <w:t>NOTE 3:</w:t>
            </w:r>
            <w:r>
              <w:tab/>
            </w:r>
            <w:r>
              <w:rPr>
                <w:i/>
                <w:rPrChange w:id="14" w:author="Kevin Wang (QMC)" w:date="2022-04-18T14:57:00Z">
                  <w:rPr>
                    <w:iCs/>
                  </w:rPr>
                </w:rPrChange>
              </w:rPr>
              <w:t>tp</w:t>
            </w:r>
            <w:r>
              <w:rPr>
                <w:i/>
                <w:vertAlign w:val="subscript"/>
                <w:rPrChange w:id="15" w:author="Kevin Wang (QMC)" w:date="2022-04-18T14:57:00Z">
                  <w:rPr>
                    <w:iCs/>
                    <w:vertAlign w:val="subscript"/>
                  </w:rPr>
                </w:rPrChange>
              </w:rPr>
              <w:t>start</w:t>
            </w:r>
            <w:r>
              <w:t xml:space="preserve"> denotes the start position of the EVM exclusion window as shown in Annex E.4.7</w:t>
            </w:r>
          </w:p>
          <w:p>
            <w:pPr>
              <w:pStyle w:val="TAN"/>
            </w:pPr>
            <w:r>
              <w:t>NOTE 4:</w:t>
            </w:r>
            <w:r>
              <w:tab/>
              <w:t>SCS denotes the SCS that can be used in the conformance test</w:t>
            </w:r>
          </w:p>
          <w:p>
            <w:pPr>
              <w:pStyle w:val="TAN"/>
            </w:pPr>
            <w:r>
              <w:t>NOTE 5:</w:t>
            </w:r>
            <w:r>
              <w:tab/>
              <w:t xml:space="preserve">30kHz shall be used in the conformance test unless the UE signals in </w:t>
            </w:r>
            <w:r>
              <w:rPr>
                <w:i/>
                <w:rPrChange w:id="16" w:author="Kevin Wang (QMC)" w:date="2022-04-18T14:57:00Z">
                  <w:rPr>
                    <w:b/>
                    <w:bCs/>
                    <w:iCs/>
                  </w:rPr>
                </w:rPrChange>
              </w:rPr>
              <w:t>supportedSubCarrierSpacingUL</w:t>
            </w:r>
            <w:r>
              <w:rPr>
                <w:b/>
                <w:bCs/>
              </w:rPr>
              <w:t xml:space="preserve"> </w:t>
            </w:r>
            <w:r>
              <w:t xml:space="preserve">in </w:t>
            </w:r>
            <w:r>
              <w:rPr>
                <w:i/>
                <w:rPrChange w:id="17" w:author="Kevin Wang (QMC)" w:date="2022-04-18T14:57:00Z">
                  <w:rPr>
                    <w:b/>
                    <w:bCs/>
                    <w:iCs/>
                  </w:rPr>
                </w:rPrChange>
              </w:rPr>
              <w:t>FeatureSetPerCC</w:t>
            </w:r>
            <w:r>
              <w:t xml:space="preserve"> that it only supports 15kHz in the corresponding band</w:t>
            </w:r>
          </w:p>
        </w:tc>
      </w:tr>
    </w:tbl>
    <w:p/>
    <w:bookmarkEnd w:id="6"/>
    <w:p>
      <w:r>
        <w:t xml:space="preserve">The RMS average of the basic EVM measurements over </w:t>
      </w:r>
      <w:del w:id="18" w:author="Kevin Wang (QMC)" w:date="2022-04-18T14:54:00Z">
        <w:r>
          <w:delText>[</w:delText>
        </w:r>
      </w:del>
      <w:r>
        <w:t>108</w:t>
      </w:r>
      <w:del w:id="19" w:author="Kevin Wang (QMC)" w:date="2022-04-18T14:54:00Z">
        <w:r>
          <w:delText>]</w:delText>
        </w:r>
      </w:del>
      <w:r>
        <w:t xml:space="preserve"> subframes for the symbols where the transient occurs for the different modulation schemes shall not exceed the values  specified in Table 6.4.2.1a.3-2 for the parameters defined in Table 6.4.2.1a.3-3.  This requirement can be verified with 64 QAM and 256 QAM modulation.</w:t>
      </w:r>
    </w:p>
    <w:p>
      <w:pPr>
        <w:pStyle w:val="TH"/>
        <w:rPr>
          <w:lang w:eastAsia="zh-CN"/>
        </w:rPr>
      </w:pPr>
      <w:bookmarkStart w:id="20" w:name="_Hlk37260337"/>
      <w:r>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trPr>
          <w:jc w:val="center"/>
        </w:trPr>
        <w:tc>
          <w:tcPr>
            <w:tcW w:w="3256" w:type="dxa"/>
          </w:tcPr>
          <w:p>
            <w:pPr>
              <w:pStyle w:val="TAH"/>
            </w:pPr>
            <w:r>
              <w:br w:type="page"/>
              <w:t>Parameter</w:t>
            </w:r>
          </w:p>
        </w:tc>
        <w:tc>
          <w:tcPr>
            <w:tcW w:w="1135" w:type="dxa"/>
          </w:tcPr>
          <w:p>
            <w:pPr>
              <w:pStyle w:val="TAH"/>
            </w:pPr>
            <w:r>
              <w:t>Unit</w:t>
            </w:r>
          </w:p>
        </w:tc>
        <w:tc>
          <w:tcPr>
            <w:tcW w:w="2406" w:type="dxa"/>
          </w:tcPr>
          <w:p>
            <w:pPr>
              <w:pStyle w:val="TAH"/>
            </w:pPr>
            <w:r>
              <w:t>Average EVM Level</w:t>
            </w:r>
          </w:p>
        </w:tc>
      </w:tr>
      <w:tr>
        <w:trPr>
          <w:jc w:val="center"/>
        </w:trPr>
        <w:tc>
          <w:tcPr>
            <w:tcW w:w="3256" w:type="dxa"/>
          </w:tcPr>
          <w:p>
            <w:pPr>
              <w:pStyle w:val="TAC"/>
            </w:pPr>
            <w:r>
              <w:rPr>
                <w:lang w:eastAsia="zh-CN"/>
              </w:rPr>
              <w:t>64</w:t>
            </w:r>
            <w:r>
              <w:rPr>
                <w:rFonts w:eastAsia="Malgun Gothic"/>
              </w:rPr>
              <w:t xml:space="preserve"> </w:t>
            </w:r>
            <w:r>
              <w:t xml:space="preserve">QAM </w:t>
            </w:r>
          </w:p>
        </w:tc>
        <w:tc>
          <w:tcPr>
            <w:tcW w:w="1135" w:type="dxa"/>
          </w:tcPr>
          <w:p>
            <w:pPr>
              <w:pStyle w:val="TAC"/>
            </w:pPr>
            <w:r>
              <w:t>%</w:t>
            </w:r>
          </w:p>
        </w:tc>
        <w:tc>
          <w:tcPr>
            <w:tcW w:w="2406" w:type="dxa"/>
          </w:tcPr>
          <w:p>
            <w:pPr>
              <w:pStyle w:val="TAC"/>
            </w:pPr>
            <w:del w:id="21" w:author="Kevin Wang (QMC)" w:date="2022-04-18T14:58:00Z">
              <w:r>
                <w:rPr>
                  <w:lang w:eastAsia="zh-CN"/>
                </w:rPr>
                <w:delText>[</w:delText>
              </w:r>
            </w:del>
            <w:r>
              <w:rPr>
                <w:lang w:eastAsia="zh-CN"/>
              </w:rPr>
              <w:t>10</w:t>
            </w:r>
            <w:del w:id="22" w:author="Kevin Wang (QMC)" w:date="2022-04-18T14:58:00Z">
              <w:r>
                <w:rPr>
                  <w:lang w:eastAsia="zh-CN"/>
                </w:rPr>
                <w:delText>]</w:delText>
              </w:r>
            </w:del>
          </w:p>
        </w:tc>
      </w:tr>
      <w:tr>
        <w:trPr>
          <w:jc w:val="center"/>
        </w:trPr>
        <w:tc>
          <w:tcPr>
            <w:tcW w:w="3256" w:type="dxa"/>
          </w:tcPr>
          <w:p>
            <w:pPr>
              <w:pStyle w:val="TAC"/>
              <w:rPr>
                <w:lang w:eastAsia="zh-CN"/>
              </w:rPr>
            </w:pPr>
            <w:r>
              <w:rPr>
                <w:lang w:eastAsia="zh-CN"/>
              </w:rPr>
              <w:t>256 QAM</w:t>
            </w:r>
          </w:p>
        </w:tc>
        <w:tc>
          <w:tcPr>
            <w:tcW w:w="1135" w:type="dxa"/>
          </w:tcPr>
          <w:p>
            <w:pPr>
              <w:pStyle w:val="TAC"/>
            </w:pPr>
            <w:r>
              <w:t>%</w:t>
            </w:r>
          </w:p>
        </w:tc>
        <w:tc>
          <w:tcPr>
            <w:tcW w:w="2406" w:type="dxa"/>
          </w:tcPr>
          <w:p>
            <w:pPr>
              <w:pStyle w:val="TAC"/>
              <w:rPr>
                <w:lang w:eastAsia="zh-CN"/>
              </w:rPr>
            </w:pPr>
            <w:del w:id="23" w:author="Kevin Wang (QMC)" w:date="2022-04-18T14:58:00Z">
              <w:r>
                <w:rPr>
                  <w:lang w:eastAsia="zh-CN"/>
                </w:rPr>
                <w:delText>[</w:delText>
              </w:r>
            </w:del>
            <w:r>
              <w:rPr>
                <w:lang w:eastAsia="zh-CN"/>
              </w:rPr>
              <w:t>8</w:t>
            </w:r>
            <w:del w:id="24" w:author="Kevin Wang (QMC)" w:date="2022-04-18T14:58:00Z">
              <w:r>
                <w:rPr>
                  <w:lang w:eastAsia="zh-CN"/>
                </w:rPr>
                <w:delText>]</w:delText>
              </w:r>
            </w:del>
          </w:p>
        </w:tc>
      </w:tr>
    </w:tbl>
    <w:p>
      <w:pPr>
        <w:rPr>
          <w:lang w:eastAsia="zh-CN"/>
        </w:rPr>
      </w:pPr>
    </w:p>
    <w:p>
      <w:pPr>
        <w:pStyle w:val="TH"/>
        <w:rPr>
          <w:lang w:eastAsia="zh-CN"/>
        </w:rPr>
      </w:pPr>
      <w:r>
        <w:rPr>
          <w:lang w:eastAsia="zh-CN"/>
        </w:rPr>
        <w:lastRenderedPageBreak/>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trPr>
          <w:jc w:val="center"/>
        </w:trPr>
        <w:tc>
          <w:tcPr>
            <w:tcW w:w="3166" w:type="dxa"/>
          </w:tcPr>
          <w:p>
            <w:pPr>
              <w:pStyle w:val="TAH"/>
            </w:pPr>
            <w:r>
              <w:br w:type="page"/>
              <w:t>Parameter</w:t>
            </w:r>
          </w:p>
        </w:tc>
        <w:tc>
          <w:tcPr>
            <w:tcW w:w="1135" w:type="dxa"/>
          </w:tcPr>
          <w:p>
            <w:pPr>
              <w:pStyle w:val="TAH"/>
            </w:pPr>
            <w:r>
              <w:t>Unit</w:t>
            </w:r>
          </w:p>
        </w:tc>
        <w:tc>
          <w:tcPr>
            <w:tcW w:w="2630" w:type="dxa"/>
          </w:tcPr>
          <w:p>
            <w:pPr>
              <w:pStyle w:val="TAH"/>
            </w:pPr>
            <w:r>
              <w:t>Level</w:t>
            </w:r>
          </w:p>
        </w:tc>
      </w:tr>
      <w:tr>
        <w:trPr>
          <w:jc w:val="center"/>
        </w:trPr>
        <w:tc>
          <w:tcPr>
            <w:tcW w:w="3166" w:type="dxa"/>
          </w:tcPr>
          <w:p>
            <w:pPr>
              <w:pStyle w:val="TAC"/>
            </w:pPr>
            <w:r>
              <w:t>UE Output Power</w:t>
            </w:r>
          </w:p>
        </w:tc>
        <w:tc>
          <w:tcPr>
            <w:tcW w:w="1135" w:type="dxa"/>
          </w:tcPr>
          <w:p>
            <w:pPr>
              <w:pStyle w:val="TAC"/>
            </w:pPr>
            <w:r>
              <w:t>dBm</w:t>
            </w:r>
          </w:p>
        </w:tc>
        <w:tc>
          <w:tcPr>
            <w:tcW w:w="2630" w:type="dxa"/>
          </w:tcPr>
          <w:p>
            <w:pPr>
              <w:pStyle w:val="TAC"/>
              <w:rPr>
                <w:rFonts w:cs="v5.0.0"/>
              </w:rPr>
            </w:pPr>
            <w:r>
              <w:rPr>
                <w:rFonts w:cs="v5.0.0"/>
              </w:rPr>
              <w:sym w:font="Symbol" w:char="F0B3"/>
            </w:r>
            <w:r>
              <w:rPr>
                <w:rFonts w:cs="v5.0.0"/>
              </w:rPr>
              <w:t xml:space="preserve"> </w:t>
            </w:r>
            <w:r>
              <w:t>Table 6.3.1-1</w:t>
            </w:r>
            <w:r>
              <w:rPr>
                <w:rFonts w:cs="v5.0.0"/>
              </w:rPr>
              <w:t xml:space="preserve"> </w:t>
            </w:r>
          </w:p>
        </w:tc>
      </w:tr>
      <w:tr>
        <w:trPr>
          <w:jc w:val="center"/>
        </w:trPr>
        <w:tc>
          <w:tcPr>
            <w:tcW w:w="3166" w:type="dxa"/>
          </w:tcPr>
          <w:p>
            <w:pPr>
              <w:pStyle w:val="TAC"/>
            </w:pPr>
            <w:r>
              <w:t>UE Output Power for 256 QAM</w:t>
            </w:r>
          </w:p>
        </w:tc>
        <w:tc>
          <w:tcPr>
            <w:tcW w:w="1135" w:type="dxa"/>
          </w:tcPr>
          <w:p>
            <w:pPr>
              <w:pStyle w:val="TAC"/>
            </w:pPr>
            <w:r>
              <w:t>dBm</w:t>
            </w:r>
          </w:p>
        </w:tc>
        <w:tc>
          <w:tcPr>
            <w:tcW w:w="2630" w:type="dxa"/>
          </w:tcPr>
          <w:p>
            <w:pPr>
              <w:pStyle w:val="TAC"/>
            </w:pPr>
            <w:r>
              <w:sym w:font="Symbol" w:char="F0B3"/>
            </w:r>
            <w:r>
              <w:t xml:space="preserve"> Table 6.3.1-1 + 10 dB</w:t>
            </w:r>
          </w:p>
        </w:tc>
      </w:tr>
      <w:tr>
        <w:trPr>
          <w:jc w:val="center"/>
        </w:trPr>
        <w:tc>
          <w:tcPr>
            <w:tcW w:w="3166" w:type="dxa"/>
          </w:tcPr>
          <w:p>
            <w:pPr>
              <w:pStyle w:val="TAC"/>
            </w:pPr>
            <w:r>
              <w:t>Operating conditions</w:t>
            </w:r>
          </w:p>
        </w:tc>
        <w:tc>
          <w:tcPr>
            <w:tcW w:w="1135" w:type="dxa"/>
          </w:tcPr>
          <w:p>
            <w:pPr>
              <w:pStyle w:val="TAC"/>
            </w:pPr>
          </w:p>
        </w:tc>
        <w:tc>
          <w:tcPr>
            <w:tcW w:w="2630" w:type="dxa"/>
          </w:tcPr>
          <w:p>
            <w:pPr>
              <w:pStyle w:val="TAC"/>
            </w:pPr>
            <w:r>
              <w:t>Normal conditions</w:t>
            </w:r>
          </w:p>
        </w:tc>
      </w:tr>
      <w:bookmarkEnd w:id="20"/>
    </w:tbl>
    <w:p/>
    <w:p>
      <w:r>
        <w:t>The normative reference for this requirement is TS 38.101 [2] clause 6.4.2.1a.</w:t>
      </w:r>
    </w:p>
    <w:p>
      <w:pPr>
        <w:pStyle w:val="H6"/>
      </w:pPr>
      <w:r>
        <w:t>6.4.2.1a.4</w:t>
      </w:r>
      <w:r>
        <w:tab/>
        <w:t>Test description</w:t>
      </w:r>
    </w:p>
    <w:p>
      <w:pPr>
        <w:pStyle w:val="H6"/>
      </w:pPr>
      <w:r>
        <w:t>6.4.2.1a.4.1</w:t>
      </w:r>
      <w:r>
        <w:tab/>
        <w:t>Initial conditions</w:t>
      </w:r>
    </w:p>
    <w:p>
      <w:pPr>
        <w:rPr>
          <w:rFonts w:eastAsia="MS Mincho"/>
        </w:rPr>
      </w:pPr>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pPr>
        <w:pStyle w:val="TH"/>
        <w:rPr>
          <w:lang w:eastAsia="zh-CN"/>
        </w:rPr>
      </w:pPr>
      <w:r>
        <w:t>Table 6.4.2.1a.4.1-1: Test Configuration T</w:t>
      </w:r>
      <w:r>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tc>
          <w:tcPr>
            <w:tcW w:w="5000" w:type="pct"/>
            <w:gridSpan w:val="4"/>
            <w:shd w:val="clear" w:color="auto" w:fill="auto"/>
          </w:tcPr>
          <w:p>
            <w:pPr>
              <w:pStyle w:val="TAH"/>
            </w:pPr>
            <w:r>
              <w:t>Initial Conditions</w:t>
            </w:r>
          </w:p>
        </w:tc>
      </w:tr>
      <w:tr>
        <w:tc>
          <w:tcPr>
            <w:tcW w:w="2189" w:type="pct"/>
            <w:gridSpan w:val="2"/>
            <w:shd w:val="clear" w:color="auto" w:fill="auto"/>
          </w:tcPr>
          <w:p>
            <w:pPr>
              <w:pStyle w:val="TAL"/>
            </w:pPr>
            <w:r>
              <w:t>Test Environment as specified in TS 38.508-1 [5] subclause 4.1</w:t>
            </w:r>
          </w:p>
        </w:tc>
        <w:tc>
          <w:tcPr>
            <w:tcW w:w="2811" w:type="pct"/>
            <w:gridSpan w:val="2"/>
          </w:tcPr>
          <w:p>
            <w:pPr>
              <w:pStyle w:val="TAL"/>
            </w:pPr>
            <w:r>
              <w:t>Normal</w:t>
            </w:r>
          </w:p>
        </w:tc>
      </w:tr>
      <w:tr>
        <w:tc>
          <w:tcPr>
            <w:tcW w:w="2189" w:type="pct"/>
            <w:gridSpan w:val="2"/>
            <w:shd w:val="clear" w:color="auto" w:fill="auto"/>
          </w:tcPr>
          <w:p>
            <w:pPr>
              <w:pStyle w:val="TAL"/>
            </w:pPr>
            <w:r>
              <w:t>Test Frequencies as specified in TS 38.508-1 [5] subclause 4.3.1</w:t>
            </w:r>
          </w:p>
        </w:tc>
        <w:tc>
          <w:tcPr>
            <w:tcW w:w="2811" w:type="pct"/>
            <w:gridSpan w:val="2"/>
          </w:tcPr>
          <w:p>
            <w:pPr>
              <w:pStyle w:val="TAL"/>
              <w:rPr>
                <w:lang w:eastAsia="zh-CN"/>
              </w:rPr>
            </w:pPr>
            <w:r>
              <w:t>Low range, Mid range, High range (NOTE 4)</w:t>
            </w:r>
          </w:p>
        </w:tc>
      </w:tr>
      <w:tr>
        <w:tc>
          <w:tcPr>
            <w:tcW w:w="2189" w:type="pct"/>
            <w:gridSpan w:val="2"/>
            <w:shd w:val="clear" w:color="auto" w:fill="auto"/>
          </w:tcPr>
          <w:p>
            <w:pPr>
              <w:pStyle w:val="TAL"/>
            </w:pPr>
            <w:r>
              <w:t>Test Channel Bandwidths as specified in TS 38.508-1 [5] subclause 4.3.1</w:t>
            </w:r>
          </w:p>
        </w:tc>
        <w:tc>
          <w:tcPr>
            <w:tcW w:w="2811" w:type="pct"/>
            <w:gridSpan w:val="2"/>
          </w:tcPr>
          <w:p>
            <w:pPr>
              <w:pStyle w:val="TAL"/>
            </w:pPr>
            <w:r>
              <w:t>Lowest, Highest</w:t>
            </w:r>
          </w:p>
        </w:tc>
      </w:tr>
      <w:tr>
        <w:tc>
          <w:tcPr>
            <w:tcW w:w="2189" w:type="pct"/>
            <w:gridSpan w:val="2"/>
            <w:shd w:val="clear" w:color="auto" w:fill="auto"/>
          </w:tcPr>
          <w:p>
            <w:pPr>
              <w:pStyle w:val="TAL"/>
            </w:pPr>
            <w:r>
              <w:t>Test SCS as specified in Table 5.3.5-1</w:t>
            </w:r>
          </w:p>
        </w:tc>
        <w:tc>
          <w:tcPr>
            <w:tcW w:w="2811" w:type="pct"/>
            <w:gridSpan w:val="2"/>
          </w:tcPr>
          <w:p>
            <w:pPr>
              <w:pStyle w:val="TAL"/>
            </w:pPr>
            <w:r>
              <w:t>15 kHz (Note 3)</w:t>
            </w:r>
          </w:p>
        </w:tc>
      </w:tr>
      <w:tr>
        <w:tc>
          <w:tcPr>
            <w:tcW w:w="5000" w:type="pct"/>
            <w:gridSpan w:val="4"/>
            <w:shd w:val="clear" w:color="auto" w:fill="auto"/>
          </w:tcPr>
          <w:p>
            <w:pPr>
              <w:pStyle w:val="TAH"/>
            </w:pPr>
            <w:r>
              <w:t>Test Parameters</w:t>
            </w:r>
          </w:p>
        </w:tc>
      </w:tr>
      <w:tr>
        <w:tc>
          <w:tcPr>
            <w:tcW w:w="513" w:type="pct"/>
            <w:shd w:val="clear" w:color="auto" w:fill="auto"/>
          </w:tcPr>
          <w:p>
            <w:pPr>
              <w:pStyle w:val="TAH"/>
              <w:rPr>
                <w:lang w:eastAsia="zh-CN"/>
              </w:rPr>
            </w:pPr>
            <w:r>
              <w:rPr>
                <w:lang w:eastAsia="zh-CN"/>
              </w:rPr>
              <w:t>Test ID</w:t>
            </w:r>
          </w:p>
        </w:tc>
        <w:tc>
          <w:tcPr>
            <w:tcW w:w="1676" w:type="pct"/>
            <w:tcBorders>
              <w:bottom w:val="single" w:sz="4" w:space="0" w:color="auto"/>
            </w:tcBorders>
            <w:shd w:val="clear" w:color="auto" w:fill="auto"/>
          </w:tcPr>
          <w:p>
            <w:pPr>
              <w:pStyle w:val="TAH"/>
            </w:pPr>
            <w:r>
              <w:t>Downlink Configuration</w:t>
            </w:r>
          </w:p>
        </w:tc>
        <w:tc>
          <w:tcPr>
            <w:tcW w:w="2811" w:type="pct"/>
            <w:gridSpan w:val="2"/>
          </w:tcPr>
          <w:p>
            <w:pPr>
              <w:pStyle w:val="TAH"/>
              <w:rPr>
                <w:lang w:eastAsia="zh-CN"/>
              </w:rPr>
            </w:pPr>
            <w:r>
              <w:t>Uplink Configuration</w:t>
            </w:r>
          </w:p>
        </w:tc>
      </w:tr>
      <w:tr>
        <w:trPr>
          <w:trHeight w:val="300"/>
        </w:trPr>
        <w:tc>
          <w:tcPr>
            <w:tcW w:w="513" w:type="pct"/>
            <w:shd w:val="clear" w:color="auto" w:fill="auto"/>
          </w:tcPr>
          <w:p>
            <w:pPr>
              <w:pStyle w:val="TAH"/>
              <w:rPr>
                <w:lang w:eastAsia="zh-CN"/>
              </w:rPr>
            </w:pPr>
          </w:p>
        </w:tc>
        <w:tc>
          <w:tcPr>
            <w:tcW w:w="1676" w:type="pct"/>
            <w:tcBorders>
              <w:bottom w:val="nil"/>
            </w:tcBorders>
            <w:shd w:val="clear" w:color="auto" w:fill="auto"/>
            <w:vAlign w:val="center"/>
          </w:tcPr>
          <w:p>
            <w:pPr>
              <w:pStyle w:val="TAC"/>
            </w:pPr>
            <w:r>
              <w:t>N/A</w:t>
            </w:r>
          </w:p>
        </w:tc>
        <w:tc>
          <w:tcPr>
            <w:tcW w:w="1163" w:type="pct"/>
          </w:tcPr>
          <w:p>
            <w:pPr>
              <w:pStyle w:val="TAH"/>
              <w:rPr>
                <w:lang w:eastAsia="zh-CN"/>
              </w:rPr>
            </w:pPr>
            <w:r>
              <w:rPr>
                <w:lang w:eastAsia="zh-CN"/>
              </w:rPr>
              <w:t>Modulation</w:t>
            </w:r>
          </w:p>
        </w:tc>
        <w:tc>
          <w:tcPr>
            <w:tcW w:w="1648" w:type="pct"/>
            <w:shd w:val="clear" w:color="auto" w:fill="auto"/>
          </w:tcPr>
          <w:p>
            <w:pPr>
              <w:pStyle w:val="TAH"/>
              <w:rPr>
                <w:lang w:eastAsia="zh-CN"/>
              </w:rPr>
            </w:pPr>
            <w:r>
              <w:rPr>
                <w:lang w:eastAsia="zh-CN"/>
              </w:rPr>
              <w:t>RB allocation (NOTE 1)</w:t>
            </w:r>
          </w:p>
        </w:tc>
      </w:tr>
      <w:tr>
        <w:trPr>
          <w:trHeight w:val="255"/>
        </w:trPr>
        <w:tc>
          <w:tcPr>
            <w:tcW w:w="513" w:type="pct"/>
            <w:shd w:val="clear" w:color="auto" w:fill="auto"/>
          </w:tcPr>
          <w:p>
            <w:pPr>
              <w:pStyle w:val="TAC"/>
            </w:pPr>
            <w:r>
              <w:t>1</w:t>
            </w:r>
          </w:p>
        </w:tc>
        <w:tc>
          <w:tcPr>
            <w:tcW w:w="1676" w:type="pct"/>
            <w:tcBorders>
              <w:top w:val="nil"/>
              <w:bottom w:val="nil"/>
            </w:tcBorders>
            <w:shd w:val="clear" w:color="auto" w:fill="auto"/>
          </w:tcPr>
          <w:p>
            <w:pPr>
              <w:pStyle w:val="TAC"/>
            </w:pPr>
          </w:p>
        </w:tc>
        <w:tc>
          <w:tcPr>
            <w:tcW w:w="1163" w:type="pct"/>
          </w:tcPr>
          <w:p>
            <w:pPr>
              <w:pStyle w:val="TAC"/>
            </w:pPr>
            <w:r>
              <w:t>CP-OFDM 64 QAM</w:t>
            </w:r>
          </w:p>
        </w:tc>
        <w:tc>
          <w:tcPr>
            <w:tcW w:w="1648" w:type="pct"/>
            <w:shd w:val="clear" w:color="auto" w:fill="auto"/>
          </w:tcPr>
          <w:p>
            <w:pPr>
              <w:pStyle w:val="TAC"/>
            </w:pPr>
            <w:r>
              <w:t>Outer Full</w:t>
            </w:r>
          </w:p>
        </w:tc>
      </w:tr>
      <w:tr>
        <w:trPr>
          <w:trHeight w:val="255"/>
        </w:trPr>
        <w:tc>
          <w:tcPr>
            <w:tcW w:w="513" w:type="pct"/>
            <w:shd w:val="clear" w:color="auto" w:fill="auto"/>
          </w:tcPr>
          <w:p>
            <w:pPr>
              <w:pStyle w:val="TAC"/>
            </w:pPr>
            <w:r>
              <w:t>2</w:t>
            </w:r>
          </w:p>
        </w:tc>
        <w:tc>
          <w:tcPr>
            <w:tcW w:w="1676" w:type="pct"/>
            <w:tcBorders>
              <w:top w:val="nil"/>
            </w:tcBorders>
            <w:shd w:val="clear" w:color="auto" w:fill="auto"/>
          </w:tcPr>
          <w:p>
            <w:pPr>
              <w:pStyle w:val="TAC"/>
            </w:pPr>
          </w:p>
        </w:tc>
        <w:tc>
          <w:tcPr>
            <w:tcW w:w="1163" w:type="pct"/>
          </w:tcPr>
          <w:p>
            <w:pPr>
              <w:pStyle w:val="TAC"/>
            </w:pPr>
            <w:r>
              <w:t>CP-OFDM 256 QAM</w:t>
            </w:r>
          </w:p>
        </w:tc>
        <w:tc>
          <w:tcPr>
            <w:tcW w:w="1648" w:type="pct"/>
            <w:shd w:val="clear" w:color="auto" w:fill="auto"/>
          </w:tcPr>
          <w:p>
            <w:pPr>
              <w:pStyle w:val="TAC"/>
            </w:pPr>
            <w:r>
              <w:t>Outer Full</w:t>
            </w:r>
          </w:p>
        </w:tc>
      </w:tr>
      <w:tr>
        <w:trPr>
          <w:trHeight w:val="345"/>
        </w:trPr>
        <w:tc>
          <w:tcPr>
            <w:tcW w:w="5000" w:type="pct"/>
            <w:gridSpan w:val="4"/>
          </w:tcPr>
          <w:p>
            <w:pPr>
              <w:pStyle w:val="TAN"/>
              <w:rPr>
                <w:lang w:eastAsia="zh-CN"/>
              </w:rPr>
            </w:pPr>
            <w:r>
              <w:rPr>
                <w:lang w:eastAsia="zh-CN"/>
              </w:rPr>
              <w:t>NOTE 1:</w:t>
            </w:r>
            <w:r>
              <w:rPr>
                <w:lang w:eastAsia="zh-CN"/>
              </w:rPr>
              <w:tab/>
              <w:t>The specific configuration of each RB allocation is defined in Table 6.1-1.</w:t>
            </w:r>
          </w:p>
          <w:p>
            <w:pPr>
              <w:pStyle w:val="TAN"/>
            </w:pPr>
            <w:r>
              <w:t>NOTE 2:</w:t>
            </w:r>
            <w:r>
              <w:tab/>
              <w:t>Test Channel Bandwidths are checked separately for each NR band, which applicable channel bandwidths are specified in Table 5.3.5-1.</w:t>
            </w:r>
          </w:p>
          <w:p>
            <w:pPr>
              <w:pStyle w:val="TAN"/>
              <w:rPr>
                <w:rFonts w:cs="Arial"/>
              </w:rPr>
            </w:pPr>
            <w:r>
              <w:t>NOTE 3:</w:t>
            </w:r>
            <w:r>
              <w:tab/>
              <w:t xml:space="preserve">For UE supporting 2 us transient period, </w:t>
            </w:r>
            <w:r>
              <w:rPr>
                <w:rFonts w:cs="Arial"/>
              </w:rPr>
              <w:t xml:space="preserve">30kHz shall be used in the conformance test unless the UE signals in </w:t>
            </w:r>
            <w:r>
              <w:rPr>
                <w:b/>
                <w:bCs/>
                <w:iCs/>
              </w:rPr>
              <w:t>supportedSubCarrierSpacingUL</w:t>
            </w:r>
            <w:r>
              <w:rPr>
                <w:b/>
                <w:bCs/>
              </w:rPr>
              <w:t xml:space="preserve"> </w:t>
            </w:r>
            <w:r>
              <w:rPr>
                <w:rFonts w:cs="Arial"/>
              </w:rPr>
              <w:t xml:space="preserve">in </w:t>
            </w:r>
            <w:r>
              <w:rPr>
                <w:rFonts w:cs="Arial"/>
                <w:b/>
                <w:bCs/>
                <w:iCs/>
              </w:rPr>
              <w:t>FeatureSetPerCC</w:t>
            </w:r>
            <w:r>
              <w:rPr>
                <w:rFonts w:cs="Arial"/>
              </w:rPr>
              <w:t xml:space="preserve"> that it only supports 15kHz in the corresponding band.</w:t>
            </w:r>
          </w:p>
          <w:p>
            <w:pPr>
              <w:pStyle w:val="TAN"/>
            </w:pPr>
            <w:r>
              <w:t>NOTE 4:</w:t>
            </w:r>
            <w:r>
              <w:tab/>
              <w:t>For NR band n28, 30MHz test channel bandwidth is tested with Low range and High range test frequencies.</w:t>
            </w:r>
          </w:p>
        </w:tc>
      </w:tr>
    </w:tbl>
    <w:p>
      <w:pPr>
        <w:rPr>
          <w:lang w:eastAsia="zh-CN"/>
        </w:rPr>
      </w:pPr>
    </w:p>
    <w:p>
      <w:pPr>
        <w:pStyle w:val="B1"/>
      </w:pPr>
      <w:r>
        <w:t>1.</w:t>
      </w:r>
      <w:r>
        <w:rPr>
          <w:lang w:eastAsia="zh-CN"/>
        </w:rPr>
        <w:tab/>
      </w:r>
      <w:r>
        <w:t xml:space="preserve">Connect the SS to the UE antenna connectors as shown in TS 38.508-1 [5] Annex A, in Figure A.3.1.1.1 for TE diagram and section A.3.2 for UE diagram. </w:t>
      </w:r>
    </w:p>
    <w:p>
      <w:pPr>
        <w:pStyle w:val="B1"/>
        <w:rPr>
          <w:lang w:eastAsia="zh-CN"/>
        </w:rPr>
      </w:pPr>
      <w:r>
        <w:rPr>
          <w:lang w:eastAsia="zh-CN"/>
        </w:rPr>
        <w:t>2.</w:t>
      </w:r>
      <w:r>
        <w:rPr>
          <w:lang w:eastAsia="zh-CN"/>
        </w:rPr>
        <w:tab/>
        <w:t xml:space="preserve">The parameter settings for the cell are set up </w:t>
      </w:r>
      <w:r>
        <w:t xml:space="preserve">according to TS 38.508-1 [5] subclause </w:t>
      </w:r>
      <w:r>
        <w:rPr>
          <w:lang w:eastAsia="zh-CN"/>
        </w:rPr>
        <w:t>4.4.3.</w:t>
      </w:r>
    </w:p>
    <w:p>
      <w:pPr>
        <w:pStyle w:val="B1"/>
      </w:pPr>
      <w:r>
        <w:rPr>
          <w:lang w:eastAsia="zh-CN"/>
        </w:rPr>
        <w:t>3.</w:t>
      </w:r>
      <w:r>
        <w:rPr>
          <w:lang w:eastAsia="zh-CN"/>
        </w:rPr>
        <w:tab/>
        <w:t xml:space="preserve">Downlink signals are initially set up according to </w:t>
      </w:r>
      <w:r>
        <w:t>Annex C.0, C.1, C.2, and uplink signals according to Annex G.0, G.1, G.2, G.3.0.</w:t>
      </w:r>
    </w:p>
    <w:p>
      <w:pPr>
        <w:pStyle w:val="B1"/>
      </w:pPr>
      <w:r>
        <w:t>4.</w:t>
      </w:r>
      <w:r>
        <w:tab/>
        <w:t>The UL Reference Measurement channels are set according to Table 6.4.2.1a.4.1-1.</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6.4.2.1a.4.3</w:t>
      </w:r>
    </w:p>
    <w:p>
      <w:pPr>
        <w:pStyle w:val="H6"/>
      </w:pPr>
      <w:r>
        <w:lastRenderedPageBreak/>
        <w:t>6.4.2.1a.4.2</w:t>
      </w:r>
      <w:r>
        <w:tab/>
        <w:t>Test procedure</w:t>
      </w:r>
    </w:p>
    <w:p>
      <w:pPr>
        <w:pStyle w:val="TH"/>
        <w:rPr>
          <w:lang w:eastAsia="sv-SE"/>
        </w:rPr>
      </w:pPr>
    </w:p>
    <w:p>
      <w:pPr>
        <w:pStyle w:val="TH"/>
        <w:rPr>
          <w:lang w:eastAsia="sv-SE"/>
        </w:rPr>
      </w:pPr>
      <w:r>
        <w:rPr>
          <w:noProof/>
          <w:lang w:eastAsia="en-GB"/>
        </w:rPr>
        <mc:AlternateContent>
          <mc:Choice Requires="wpc">
            <w:drawing>
              <wp:inline distT="0" distB="0" distL="0" distR="0">
                <wp:extent cx="6151880" cy="1520825"/>
                <wp:effectExtent l="0" t="0" r="1270" b="3175"/>
                <wp:docPr id="70"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201"/>
                            <a:ext cx="12357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rFonts w:ascii="Arial" w:hAnsi="Arial" w:cs="Arial"/>
                                </w:rPr>
                              </w:pPr>
                              <w:r>
                                <w:rPr>
                                  <w:rFonts w:ascii="Arial" w:hAnsi="Arial" w:cs="Arial"/>
                                  <w:color w:val="FFFFFF"/>
                                </w:rP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43"/>
                        <wps:cNvSpPr>
                          <a:spLocks noChangeArrowheads="1"/>
                        </wps:cNvSpPr>
                        <wps:spPr bwMode="auto">
                          <a:xfrm>
                            <a:off x="3352144" y="41201"/>
                            <a:ext cx="13417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rFonts w:ascii="Arial" w:hAnsi="Arial" w:cs="Arial"/>
                                  <w:lang w:val="en-US"/>
                                </w:rPr>
                              </w:pPr>
                              <w:r>
                                <w:rPr>
                                  <w:rFonts w:ascii="Arial" w:hAnsi="Arial" w:cs="Arial"/>
                                  <w:color w:val="FFFFFF"/>
                                  <w:lang w:val="en-US"/>
                                </w:rPr>
                                <w:t>Symbol before transient</w:t>
                              </w:r>
                            </w:p>
                          </w:txbxContent>
                        </wps:txbx>
                        <wps:bodyPr rot="0" vert="horz" wrap="none" lIns="0" tIns="0" rIns="0" bIns="0" anchor="t" anchorCtr="0" upright="1">
                          <a:spAutoFit/>
                        </wps:bodyPr>
                      </wps:wsp>
                      <wps:wsp>
                        <wps:cNvPr id="11"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7"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58"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9" name="Rectangle 52"/>
                        <wps:cNvSpPr>
                          <a:spLocks noChangeArrowheads="1"/>
                        </wps:cNvSpPr>
                        <wps:spPr bwMode="auto">
                          <a:xfrm>
                            <a:off x="5302269" y="6076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txbxContent>
                        </wps:txbx>
                        <wps:bodyPr rot="0" vert="horz" wrap="none" lIns="0" tIns="0" rIns="0" bIns="0" anchor="t" anchorCtr="0" upright="1">
                          <a:spAutoFit/>
                        </wps:bodyPr>
                      </wps:wsp>
                      <wps:wsp>
                        <wps:cNvPr id="60"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1"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4" name="Rectangle 63"/>
                        <wps:cNvSpPr>
                          <a:spLocks noChangeArrowheads="1"/>
                        </wps:cNvSpPr>
                        <wps:spPr bwMode="auto">
                          <a:xfrm>
                            <a:off x="2501933" y="681311"/>
                            <a:ext cx="953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rFonts w:ascii="Arial" w:hAnsi="Arial" w:cs="Arial"/>
                                  <w:lang w:val="en-US"/>
                                </w:rPr>
                              </w:pPr>
                              <w:r>
                                <w:rPr>
                                  <w:rFonts w:ascii="Arial" w:hAnsi="Arial" w:cs="Arial"/>
                                  <w:lang w:val="en-US"/>
                                </w:rPr>
                                <w:t>Assigned UL slot</w:t>
                              </w:r>
                            </w:p>
                          </w:txbxContent>
                        </wps:txbx>
                        <wps:bodyPr rot="0" vert="horz" wrap="none" lIns="0" tIns="0" rIns="0" bIns="0" anchor="t" anchorCtr="0" upright="1">
                          <a:spAutoFit/>
                        </wps:bodyPr>
                      </wps:wsp>
                      <wps:wsp>
                        <wps:cNvPr id="65"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6"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7" name="Rectangle 71"/>
                        <wps:cNvSpPr>
                          <a:spLocks noChangeArrowheads="1"/>
                        </wps:cNvSpPr>
                        <wps:spPr bwMode="auto">
                          <a:xfrm>
                            <a:off x="781610" y="1257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lang w:val="en-US"/>
                                </w:rPr>
                              </w:pPr>
                              <w:r>
                                <w:rPr>
                                  <w:rFonts w:ascii="Calibri" w:hAnsi="Calibri" w:cs="Calibri"/>
                                  <w:sz w:val="18"/>
                                  <w:szCs w:val="18"/>
                                  <w:lang w:val="en-US"/>
                                </w:rPr>
                                <w:t>Transient period</w:t>
                              </w:r>
                            </w:p>
                          </w:txbxContent>
                        </wps:txbx>
                        <wps:bodyPr rot="0" vert="horz" wrap="none" lIns="0" tIns="0" rIns="0" bIns="0" anchor="t" anchorCtr="0" upright="1">
                          <a:spAutoFit/>
                        </wps:bodyPr>
                      </wps:wsp>
                      <wps:wsp>
                        <wps:cNvPr id="68"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9" name="Rectangle 75"/>
                        <wps:cNvSpPr>
                          <a:spLocks noChangeArrowheads="1"/>
                        </wps:cNvSpPr>
                        <wps:spPr bwMode="auto">
                          <a:xfrm>
                            <a:off x="4464058" y="1255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rPr>
                                  <w:rFonts w:ascii="Calibri" w:hAnsi="Calibri" w:cs="Calibri"/>
                                  <w:sz w:val="18"/>
                                  <w:szCs w:val="18"/>
                                </w:rPr>
                                <w:t>Transient period</w:t>
                              </w:r>
                            </w:p>
                          </w:txbxContent>
                        </wps:txbx>
                        <wps:bodyPr rot="0" vert="horz" wrap="none" lIns="0" tIns="0" rIns="0" bIns="0" anchor="t" anchorCtr="0" upright="1">
                          <a:spAutoFit/>
                        </wps:bodyPr>
                      </wps:wsp>
                    </wpc:wpc>
                  </a:graphicData>
                </a:graphic>
              </wp:inline>
            </w:drawing>
          </mc:Choice>
          <mc:Fallback>
            <w:pict>
              <v:group id="Canvas 70" o:spid="_x0000_s1026" editas="canvas" style="width:484.4pt;height:119.75pt;mso-position-horizontal-relative:char;mso-position-vertical-relative:line" coordsize="61518,15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18;height:15208;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2;width:1235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pPr>
                          <w:rPr>
                            <w:rFonts w:ascii="Arial" w:hAnsi="Arial" w:cs="Arial"/>
                          </w:rPr>
                        </w:pPr>
                        <w:r>
                          <w:rPr>
                            <w:rFonts w:ascii="Arial" w:hAnsi="Arial" w:cs="Arial"/>
                            <w:color w:val="FFFFFF"/>
                          </w:rP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" filled="f" strokecolor="#41719c" strokeweight=".85pt"/>
                <v:rect id="Rectangle 43" o:spid="_x0000_s1033" style="position:absolute;left:33521;top:412;width:134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pPr>
                          <w:rPr>
                            <w:rFonts w:ascii="Arial" w:hAnsi="Arial" w:cs="Arial"/>
                            <w:lang w:val="en-US"/>
                          </w:rPr>
                        </w:pPr>
                        <w:r>
                          <w:rPr>
                            <w:rFonts w:ascii="Arial" w:hAnsi="Arial" w:cs="Arial"/>
                            <w:color w:val="FFFFFF"/>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953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pPr>
                          <w:rPr>
                            <w:rFonts w:ascii="Arial" w:hAnsi="Arial" w:cs="Arial"/>
                            <w:lang w:val="en-US"/>
                          </w:rPr>
                        </w:pPr>
                        <w:r>
                          <w:rPr>
                            <w:rFonts w:ascii="Arial" w:hAnsi="Arial" w:cs="Arial"/>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pPr>
                          <w:rPr>
                            <w:lang w:val="en-US"/>
                          </w:rPr>
                        </w:pPr>
                        <w:r>
                          <w:rPr>
                            <w:rFonts w:ascii="Calibri" w:hAnsi="Calibri" w:cs="Calibri"/>
                            <w:sz w:val="18"/>
                            <w:szCs w:val="18"/>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
                          <w:rPr>
                            <w:rFonts w:ascii="Calibri" w:hAnsi="Calibri" w:cs="Calibri"/>
                            <w:sz w:val="18"/>
                            <w:szCs w:val="18"/>
                          </w:rPr>
                          <w:t>Transient period</w:t>
                        </w:r>
                      </w:p>
                    </w:txbxContent>
                  </v:textbox>
                </v:rect>
                <w10:anchorlock/>
              </v:group>
            </w:pict>
          </mc:Fallback>
        </mc:AlternateContent>
      </w:r>
    </w:p>
    <w:p>
      <w:pPr>
        <w:pStyle w:val="TF"/>
      </w:pPr>
      <w:r>
        <w:t>Figure 6.4.2.1a.4.2-1: Error Vector Magnitude including symbols with transient period</w:t>
      </w:r>
    </w:p>
    <w:p/>
    <w:p>
      <w:pPr>
        <w:pStyle w:val="B1"/>
      </w:pPr>
      <w:r>
        <w:rPr>
          <w:lang w:eastAsia="zh-CN"/>
        </w:rPr>
        <w:t>1.</w:t>
      </w:r>
      <w:r>
        <w:rPr>
          <w:lang w:eastAsia="zh-CN"/>
        </w:rPr>
        <w:tab/>
        <w:t>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8 for 15 kHz SCS, on slots 8 and 18 for 30 kHz SCS and on slots 17 and 37 for 60 kHz SCS.</w:t>
      </w:r>
    </w:p>
    <w:p>
      <w:pPr>
        <w:pStyle w:val="B1"/>
      </w:pPr>
      <w:r>
        <w:t>2.</w:t>
      </w:r>
      <w:r>
        <w:tab/>
        <w:t>Send continuously uplink power control "up" commands in the uplink scheduling information to the UE until the UE transmits at P</w:t>
      </w:r>
      <w:r>
        <w:rPr>
          <w:vertAlign w:val="subscript"/>
        </w:rPr>
        <w:t>UMAX level,</w:t>
      </w:r>
      <w:r>
        <w:t xml:space="preserve"> allow at least 200ms starting from the first TPC command in this step for the UE to reach P</w:t>
      </w:r>
      <w:r>
        <w:rPr>
          <w:vertAlign w:val="subscript"/>
        </w:rPr>
        <w:t xml:space="preserve">UMAX </w:t>
      </w:r>
      <w:r>
        <w:t>level.</w:t>
      </w:r>
    </w:p>
    <w:p>
      <w:pPr>
        <w:pStyle w:val="B1"/>
        <w:rPr>
          <w:rFonts w:eastAsia="MS Mincho"/>
        </w:rPr>
      </w:pPr>
      <w:r>
        <w:t>3.</w:t>
      </w:r>
      <w:r>
        <w:tab/>
        <w:t xml:space="preserve">Measure the EVM and </w:t>
      </w:r>
      <w:r>
        <w:rPr>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6pt" o:ole="">
            <v:imagedata r:id="rId13" o:title=""/>
          </v:shape>
          <o:OLEObject Type="Embed" ProgID="Equation.3" ShapeID="_x0000_i1025" DrawAspect="Content" ObjectID="_1713161954" r:id="rId14"/>
        </w:object>
      </w:r>
      <w:r>
        <w:t xml:space="preserve"> using Global In-Channel Tx-Test (Annex E) applying tp</w:t>
      </w:r>
      <w:r>
        <w:rPr>
          <w:vertAlign w:val="subscript"/>
        </w:rPr>
        <w:t>start</w:t>
      </w:r>
      <w:r>
        <w:t xml:space="preserve"> of Table 6.4.2.1a.3-1 according to the declared enhanced transient capability. For TDD, only slots consisting of only UL symbols are under test as indicated in Figure 6.4.2.1a.4.2-1. </w:t>
      </w:r>
    </w:p>
    <w:p>
      <w:pPr>
        <w:pStyle w:val="B1"/>
        <w:rPr>
          <w:lang w:eastAsia="zh-CN"/>
        </w:rPr>
      </w:pPr>
      <w:r>
        <w:t>4.</w:t>
      </w:r>
      <w:r>
        <w:tab/>
        <w:t xml:space="preserve">For CP-OFDM 64 QAM modulations,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pPr>
        <w:pStyle w:val="B2"/>
        <w:rPr>
          <w:lang w:eastAsia="zh-CN"/>
        </w:rPr>
      </w:pPr>
      <w:r>
        <w:rPr>
          <w:lang w:eastAsia="zh-CN"/>
        </w:rPr>
        <w:t>-</w:t>
      </w:r>
      <w:r>
        <w:tab/>
        <w:t>Pmin</w:t>
      </w:r>
      <w:r>
        <w:rPr>
          <w:rFonts w:cs="Arial"/>
        </w:rPr>
        <w:t xml:space="preserve"> </w:t>
      </w:r>
      <w:r>
        <w:rPr>
          <w:rFonts w:cs="Arial"/>
          <w:lang w:eastAsia="zh-CN"/>
        </w:rPr>
        <w:t xml:space="preserve">is </w:t>
      </w:r>
      <w:r>
        <w:rPr>
          <w:rFonts w:cs="Arial"/>
        </w:rPr>
        <w:t xml:space="preserve">the minimum output power </w:t>
      </w:r>
      <w:r>
        <w:t>according to Table 6.3.1.3-1</w:t>
      </w:r>
      <w:r>
        <w:rPr>
          <w:lang w:eastAsia="zh-CN"/>
        </w:rPr>
        <w:t>.</w:t>
      </w:r>
    </w:p>
    <w:p>
      <w:pPr>
        <w:pStyle w:val="B2"/>
        <w:rPr>
          <w:lang w:eastAsia="zh-CN"/>
        </w:rPr>
      </w:pPr>
      <w:r>
        <w:rPr>
          <w:lang w:eastAsia="zh-CN"/>
        </w:rPr>
        <w:t>-</w:t>
      </w:r>
      <w:r>
        <w:tab/>
      </w:r>
      <w:r>
        <w:rPr>
          <w:lang w:eastAsia="zh-CN"/>
        </w:rPr>
        <w:t>MU is the test system uplink power measurement uncertainty and is specified in Table F.1.2-1 for the carrier frequency f and the channel bandwidth BW.</w:t>
      </w:r>
    </w:p>
    <w:p>
      <w:pPr>
        <w:pStyle w:val="B2"/>
        <w:rPr>
          <w:lang w:eastAsia="zh-CN"/>
        </w:rPr>
      </w:pPr>
      <w:r>
        <w:rPr>
          <w:lang w:eastAsia="zh-CN"/>
        </w:rPr>
        <w:t>-</w:t>
      </w:r>
      <w:r>
        <w:rPr>
          <w:lang w:eastAsia="zh-CN"/>
        </w:rPr>
        <w:tab/>
        <w:t xml:space="preserve">Uplink power control window size = 1dB (UE power step size) + 0.7dB (UE power step tolerance) </w:t>
      </w:r>
      <w:r>
        <w:t>+ (Test system relative power measurement uncertainty)</w:t>
      </w:r>
      <w:r>
        <w:rPr>
          <w:lang w:eastAsia="zh-CN"/>
        </w:rPr>
        <w:t xml:space="preserve">, where the UE power step tolerance is specified in TS 38.101-1 [2], Table 6.3.4.3-1 and is 0.7dB for 1dB power step size, </w:t>
      </w:r>
      <w:r>
        <w:t>and the Test system relative power measurement uncertainty is specified in Table F.1.2-1</w:t>
      </w:r>
      <w:r>
        <w:rPr>
          <w:lang w:eastAsia="zh-CN"/>
        </w:rPr>
        <w:t>.</w:t>
      </w:r>
    </w:p>
    <w:p>
      <w:pPr>
        <w:pStyle w:val="B2"/>
      </w:pPr>
      <w:r>
        <w:t xml:space="preserve">For CP-OFDM 256 QAM modulations,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Pr>
          <w:lang w:eastAsia="zh-CN"/>
        </w:rPr>
        <w:t xml:space="preserve">, </w:t>
      </w:r>
      <w:r>
        <w:t xml:space="preserve">where Pmin, </w:t>
      </w:r>
      <w:r>
        <w:rPr>
          <w:lang w:eastAsia="zh-CN"/>
        </w:rPr>
        <w:t>MU and Uplink power control window size</w:t>
      </w:r>
      <w:r>
        <w:t xml:space="preserve"> are defined above.</w:t>
      </w:r>
    </w:p>
    <w:p>
      <w:pPr>
        <w:pStyle w:val="B1"/>
      </w:pPr>
      <w:r>
        <w:t>5.</w:t>
      </w:r>
      <w:r>
        <w:tab/>
        <w:t xml:space="preserve">Measure the EVM and </w:t>
      </w:r>
      <w:r>
        <w:rPr>
          <w:position w:val="-6"/>
        </w:rPr>
        <w:object w:dxaOrig="1020" w:dyaOrig="340">
          <v:shape id="_x0000_i1026" type="#_x0000_t75" style="width:50.25pt;height:15.6pt" o:ole="">
            <v:imagedata r:id="rId15" o:title=""/>
          </v:shape>
          <o:OLEObject Type="Embed" ProgID="Equation.3" ShapeID="_x0000_i1026" DrawAspect="Content" ObjectID="_1713161955" r:id="rId16"/>
        </w:object>
      </w:r>
      <w:r>
        <w:t xml:space="preserve"> using Global In-Channel Tx-Test (Annex E) applying tp</w:t>
      </w:r>
      <w:r>
        <w:rPr>
          <w:vertAlign w:val="subscript"/>
        </w:rPr>
        <w:t>start</w:t>
      </w:r>
      <w:r>
        <w:t xml:space="preserve"> of Table 6.4.2.1a.3-1 according to the declared enhanced transient capability. For TDD, only slots consisting of only UL symbols are under test.</w:t>
      </w:r>
    </w:p>
    <w:p>
      <w:pPr>
        <w:pStyle w:val="NO"/>
        <w:keepNext/>
        <w:rPr>
          <w:lang w:eastAsia="zh-CN"/>
        </w:rPr>
      </w:pPr>
      <w:r>
        <w:rPr>
          <w:lang w:eastAsia="zh-CN"/>
        </w:rPr>
        <w:t>NOTE:</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pPr>
        <w:pStyle w:val="H6"/>
        <w:rPr>
          <w:snapToGrid w:val="0"/>
        </w:rPr>
      </w:pPr>
      <w:r>
        <w:t>6.4.2.1a.4.3</w:t>
      </w:r>
      <w:r>
        <w:tab/>
      </w:r>
      <w:r>
        <w:rPr>
          <w:snapToGrid w:val="0"/>
        </w:rPr>
        <w:t>Message contents</w:t>
      </w:r>
    </w:p>
    <w:p>
      <w:pPr>
        <w:rPr>
          <w:lang w:eastAsia="zh-CN"/>
        </w:rPr>
      </w:pPr>
      <w:r>
        <w:t>Message contents are according to TS 38.508-1 [5] subclause 4.6 with the following exceptions</w:t>
      </w:r>
      <w:r>
        <w:rPr>
          <w:lang w:eastAsia="zh-CN"/>
        </w:rPr>
        <w:t>:</w:t>
      </w:r>
    </w:p>
    <w:p>
      <w:pPr>
        <w:pStyle w:val="TH"/>
      </w:pPr>
      <w:r>
        <w:lastRenderedPageBreak/>
        <w:t>Table 6.4.2.1a.4.3-1: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tc>
          <w:tcPr>
            <w:tcW w:w="9747" w:type="dxa"/>
            <w:gridSpan w:val="4"/>
          </w:tcPr>
          <w:p>
            <w:pPr>
              <w:pStyle w:val="TAH"/>
              <w:jc w:val="left"/>
              <w:rPr>
                <w:b w:val="0"/>
              </w:rPr>
            </w:pPr>
            <w:r>
              <w:rPr>
                <w:b w:val="0"/>
              </w:rPr>
              <w:t>Derivation Path: TS 38.508-1[5], Table 4.6.3-192</w:t>
            </w:r>
          </w:p>
        </w:tc>
      </w:tr>
      <w:tr>
        <w:tc>
          <w:tcPr>
            <w:tcW w:w="4535"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245" w:type="dxa"/>
          </w:tcPr>
          <w:p>
            <w:pPr>
              <w:pStyle w:val="TAH"/>
            </w:pPr>
            <w:r>
              <w:t>Condition</w:t>
            </w:r>
          </w:p>
        </w:tc>
      </w:tr>
      <w:tr>
        <w:tc>
          <w:tcPr>
            <w:tcW w:w="4535" w:type="dxa"/>
          </w:tcPr>
          <w:p>
            <w:pPr>
              <w:pStyle w:val="TAL"/>
            </w:pPr>
            <w:r>
              <w:t>TDD-UL-DL-ConfigCommon ::= SEQUENCE {</w:t>
            </w:r>
          </w:p>
        </w:tc>
        <w:tc>
          <w:tcPr>
            <w:tcW w:w="2267" w:type="dxa"/>
          </w:tcPr>
          <w:p>
            <w:pPr>
              <w:pStyle w:val="TAL"/>
            </w:pPr>
          </w:p>
        </w:tc>
        <w:tc>
          <w:tcPr>
            <w:tcW w:w="1700" w:type="dxa"/>
          </w:tcPr>
          <w:p>
            <w:pPr>
              <w:pStyle w:val="TAL"/>
            </w:pPr>
          </w:p>
        </w:tc>
        <w:tc>
          <w:tcPr>
            <w:tcW w:w="1245" w:type="dxa"/>
          </w:tcPr>
          <w:p>
            <w:pPr>
              <w:pStyle w:val="TAL"/>
            </w:pPr>
          </w:p>
        </w:tc>
      </w:tr>
      <w:tr>
        <w:tc>
          <w:tcPr>
            <w:tcW w:w="4535" w:type="dxa"/>
          </w:tcPr>
          <w:p>
            <w:pPr>
              <w:pStyle w:val="TAL"/>
            </w:pPr>
            <w:r>
              <w:rPr>
                <w:rFonts w:cs="Arial"/>
                <w:kern w:val="2"/>
                <w:szCs w:val="18"/>
              </w:rPr>
              <w:t xml:space="preserve">  referenceSubcarrierSpacing</w:t>
            </w:r>
          </w:p>
        </w:tc>
        <w:tc>
          <w:tcPr>
            <w:tcW w:w="2267" w:type="dxa"/>
          </w:tcPr>
          <w:p>
            <w:pPr>
              <w:pStyle w:val="TAL"/>
            </w:pPr>
            <w:r>
              <w:rPr>
                <w:rFonts w:cs="Arial"/>
                <w:kern w:val="2"/>
                <w:szCs w:val="18"/>
              </w:rPr>
              <w:t>SubcarrierSpacing</w:t>
            </w:r>
          </w:p>
        </w:tc>
        <w:tc>
          <w:tcPr>
            <w:tcW w:w="1700" w:type="dxa"/>
          </w:tcPr>
          <w:p>
            <w:pPr>
              <w:pStyle w:val="TAL"/>
            </w:pPr>
          </w:p>
        </w:tc>
        <w:tc>
          <w:tcPr>
            <w:tcW w:w="1245" w:type="dxa"/>
          </w:tcPr>
          <w:p>
            <w:pPr>
              <w:pStyle w:val="TAL"/>
            </w:pPr>
          </w:p>
        </w:tc>
      </w:tr>
      <w:tr>
        <w:tc>
          <w:tcPr>
            <w:tcW w:w="4535" w:type="dxa"/>
          </w:tcPr>
          <w:p>
            <w:pPr>
              <w:pStyle w:val="TAL"/>
              <w:rPr>
                <w:rFonts w:cs="Arial"/>
                <w:kern w:val="2"/>
                <w:szCs w:val="18"/>
              </w:rPr>
            </w:pPr>
            <w:r>
              <w:rPr>
                <w:rFonts w:cs="Arial"/>
                <w:kern w:val="2"/>
                <w:szCs w:val="18"/>
              </w:rPr>
              <w:t xml:space="preserve">  pattern1 SEQUENCE {</w:t>
            </w:r>
          </w:p>
        </w:tc>
        <w:tc>
          <w:tcPr>
            <w:tcW w:w="2267" w:type="dxa"/>
          </w:tcPr>
          <w:p>
            <w:pPr>
              <w:pStyle w:val="TAL"/>
              <w:rPr>
                <w:rFonts w:cs="Arial"/>
                <w:kern w:val="2"/>
                <w:szCs w:val="18"/>
              </w:rPr>
            </w:pPr>
          </w:p>
        </w:tc>
        <w:tc>
          <w:tcPr>
            <w:tcW w:w="1700" w:type="dxa"/>
          </w:tcPr>
          <w:p>
            <w:pPr>
              <w:pStyle w:val="TAL"/>
            </w:pPr>
          </w:p>
        </w:tc>
        <w:tc>
          <w:tcPr>
            <w:tcW w:w="1245" w:type="dxa"/>
          </w:tcPr>
          <w:p>
            <w:pPr>
              <w:pStyle w:val="TAL"/>
              <w:rPr>
                <w:rFonts w:cs="Arial"/>
                <w:kern w:val="2"/>
                <w:szCs w:val="18"/>
              </w:rPr>
            </w:pPr>
          </w:p>
        </w:tc>
      </w:tr>
      <w:tr>
        <w:tc>
          <w:tcPr>
            <w:tcW w:w="4535" w:type="dxa"/>
          </w:tcPr>
          <w:p>
            <w:pPr>
              <w:pStyle w:val="TAL"/>
            </w:pPr>
            <w:r>
              <w:rPr>
                <w:rFonts w:cs="Arial"/>
                <w:kern w:val="2"/>
                <w:szCs w:val="18"/>
              </w:rPr>
              <w:t xml:space="preserve">    dl-UL-TransmissionPeriodicity</w:t>
            </w:r>
          </w:p>
        </w:tc>
        <w:tc>
          <w:tcPr>
            <w:tcW w:w="2267" w:type="dxa"/>
          </w:tcPr>
          <w:p>
            <w:pPr>
              <w:pStyle w:val="TAL"/>
            </w:pPr>
            <w:r>
              <w:rPr>
                <w:rFonts w:cs="Arial"/>
                <w:kern w:val="2"/>
                <w:szCs w:val="18"/>
              </w:rPr>
              <w:t>ms5</w:t>
            </w:r>
          </w:p>
        </w:tc>
        <w:tc>
          <w:tcPr>
            <w:tcW w:w="1700" w:type="dxa"/>
          </w:tcPr>
          <w:p>
            <w:pPr>
              <w:pStyle w:val="TAL"/>
            </w:pPr>
          </w:p>
        </w:tc>
        <w:tc>
          <w:tcPr>
            <w:tcW w:w="1245" w:type="dxa"/>
          </w:tcPr>
          <w:p>
            <w:pPr>
              <w:pStyle w:val="TAL"/>
            </w:pPr>
            <w:r>
              <w:rPr>
                <w:rFonts w:cs="Arial"/>
                <w:kern w:val="2"/>
                <w:szCs w:val="18"/>
              </w:rPr>
              <w:t>FR1</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ms10</w:t>
            </w:r>
          </w:p>
        </w:tc>
        <w:tc>
          <w:tcPr>
            <w:tcW w:w="1700" w:type="dxa"/>
          </w:tcPr>
          <w:p>
            <w:pPr>
              <w:pStyle w:val="TAL"/>
            </w:pPr>
          </w:p>
        </w:tc>
        <w:tc>
          <w:tcPr>
            <w:tcW w:w="1245" w:type="dxa"/>
          </w:tcPr>
          <w:p>
            <w:pPr>
              <w:pStyle w:val="TAL"/>
              <w:rPr>
                <w:rFonts w:cs="Arial"/>
                <w:kern w:val="2"/>
                <w:szCs w:val="18"/>
              </w:rPr>
            </w:pPr>
            <w:r>
              <w:rPr>
                <w:rFonts w:cs="Arial"/>
                <w:kern w:val="2"/>
                <w:szCs w:val="18"/>
              </w:rPr>
              <w:t>FR1_15kHz</w:t>
            </w:r>
          </w:p>
        </w:tc>
      </w:tr>
      <w:tr>
        <w:tc>
          <w:tcPr>
            <w:tcW w:w="4535" w:type="dxa"/>
          </w:tcPr>
          <w:p>
            <w:pPr>
              <w:pStyle w:val="TAL"/>
            </w:pPr>
            <w:r>
              <w:rPr>
                <w:rFonts w:cs="Arial"/>
                <w:kern w:val="2"/>
                <w:szCs w:val="18"/>
              </w:rPr>
              <w:t xml:space="preserve">    nrofDownlinkSlots</w:t>
            </w:r>
          </w:p>
        </w:tc>
        <w:tc>
          <w:tcPr>
            <w:tcW w:w="2267" w:type="dxa"/>
          </w:tcPr>
          <w:p>
            <w:pPr>
              <w:pStyle w:val="TAL"/>
            </w:pPr>
            <w:r>
              <w:rPr>
                <w:rFonts w:cs="Arial"/>
                <w:kern w:val="2"/>
                <w:szCs w:val="18"/>
              </w:rPr>
              <w:t>6</w:t>
            </w:r>
          </w:p>
        </w:tc>
        <w:tc>
          <w:tcPr>
            <w:tcW w:w="1700" w:type="dxa"/>
          </w:tcPr>
          <w:p>
            <w:pPr>
              <w:pStyle w:val="TAL"/>
            </w:pPr>
          </w:p>
        </w:tc>
        <w:tc>
          <w:tcPr>
            <w:tcW w:w="1245" w:type="dxa"/>
          </w:tcPr>
          <w:p>
            <w:pPr>
              <w:pStyle w:val="TAL"/>
            </w:pPr>
            <w:r>
              <w:rPr>
                <w:rFonts w:cs="Arial"/>
                <w:kern w:val="2"/>
                <w:szCs w:val="18"/>
              </w:rPr>
              <w:t>FR1_15kHz</w:t>
            </w:r>
          </w:p>
        </w:tc>
      </w:tr>
      <w:tr>
        <w:tc>
          <w:tcPr>
            <w:tcW w:w="4535" w:type="dxa"/>
          </w:tcPr>
          <w:p>
            <w:pPr>
              <w:pStyle w:val="TAL"/>
            </w:pPr>
          </w:p>
        </w:tc>
        <w:tc>
          <w:tcPr>
            <w:tcW w:w="2267" w:type="dxa"/>
          </w:tcPr>
          <w:p>
            <w:pPr>
              <w:pStyle w:val="TAL"/>
            </w:pPr>
            <w:r>
              <w:rPr>
                <w:rFonts w:cs="Arial"/>
                <w:kern w:val="2"/>
                <w:szCs w:val="18"/>
              </w:rPr>
              <w:t>6</w:t>
            </w:r>
          </w:p>
        </w:tc>
        <w:tc>
          <w:tcPr>
            <w:tcW w:w="1700" w:type="dxa"/>
          </w:tcPr>
          <w:p>
            <w:pPr>
              <w:pStyle w:val="TAL"/>
            </w:pPr>
          </w:p>
        </w:tc>
        <w:tc>
          <w:tcPr>
            <w:tcW w:w="1245" w:type="dxa"/>
          </w:tcPr>
          <w:p>
            <w:pPr>
              <w:pStyle w:val="TAL"/>
            </w:pPr>
            <w:r>
              <w:rPr>
                <w:rFonts w:cs="Arial"/>
                <w:kern w:val="2"/>
                <w:szCs w:val="18"/>
              </w:rPr>
              <w:t>FR1_30kHz</w:t>
            </w:r>
          </w:p>
        </w:tc>
      </w:tr>
      <w:tr>
        <w:tc>
          <w:tcPr>
            <w:tcW w:w="4535" w:type="dxa"/>
          </w:tcPr>
          <w:p>
            <w:pPr>
              <w:pStyle w:val="TAL"/>
            </w:pPr>
          </w:p>
        </w:tc>
        <w:tc>
          <w:tcPr>
            <w:tcW w:w="2267" w:type="dxa"/>
          </w:tcPr>
          <w:p>
            <w:pPr>
              <w:pStyle w:val="TAL"/>
              <w:rPr>
                <w:rFonts w:cs="Arial"/>
                <w:kern w:val="2"/>
                <w:szCs w:val="18"/>
              </w:rPr>
            </w:pPr>
            <w:r>
              <w:rPr>
                <w:rFonts w:cs="Arial"/>
                <w:kern w:val="2"/>
                <w:szCs w:val="18"/>
              </w:rPr>
              <w:t>14</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pPr>
            <w:r>
              <w:rPr>
                <w:rFonts w:cs="Arial"/>
                <w:kern w:val="2"/>
                <w:szCs w:val="18"/>
              </w:rPr>
              <w:t xml:space="preserve">    nrofDownlinkSymbols</w:t>
            </w:r>
          </w:p>
        </w:tc>
        <w:tc>
          <w:tcPr>
            <w:tcW w:w="2267" w:type="dxa"/>
          </w:tcPr>
          <w:p>
            <w:pPr>
              <w:pStyle w:val="TAL"/>
              <w:rPr>
                <w:rFonts w:cs="Arial"/>
                <w:kern w:val="2"/>
                <w:szCs w:val="18"/>
              </w:rPr>
            </w:pPr>
            <w:r>
              <w:rPr>
                <w:rFonts w:cs="Arial"/>
                <w:kern w:val="2"/>
                <w:szCs w:val="18"/>
              </w:rPr>
              <w:t>10</w:t>
            </w:r>
          </w:p>
        </w:tc>
        <w:tc>
          <w:tcPr>
            <w:tcW w:w="1700" w:type="dxa"/>
          </w:tcPr>
          <w:p>
            <w:pPr>
              <w:pStyle w:val="TAL"/>
            </w:pPr>
          </w:p>
        </w:tc>
        <w:tc>
          <w:tcPr>
            <w:tcW w:w="1245" w:type="dxa"/>
          </w:tcPr>
          <w:p>
            <w:pPr>
              <w:pStyle w:val="TAL"/>
              <w:rPr>
                <w:rFonts w:cs="Arial"/>
                <w:kern w:val="2"/>
                <w:szCs w:val="18"/>
              </w:rPr>
            </w:pPr>
            <w:r>
              <w:rPr>
                <w:rFonts w:cs="Arial"/>
                <w:kern w:val="2"/>
                <w:szCs w:val="18"/>
              </w:rPr>
              <w:t>FR1_15kHz</w:t>
            </w:r>
          </w:p>
        </w:tc>
      </w:tr>
      <w:tr>
        <w:trPr>
          <w:trHeight w:val="60"/>
        </w:trP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6</w:t>
            </w:r>
          </w:p>
        </w:tc>
        <w:tc>
          <w:tcPr>
            <w:tcW w:w="1700" w:type="dxa"/>
          </w:tcPr>
          <w:p>
            <w:pPr>
              <w:pStyle w:val="TAL"/>
            </w:pPr>
          </w:p>
        </w:tc>
        <w:tc>
          <w:tcPr>
            <w:tcW w:w="1245" w:type="dxa"/>
          </w:tcPr>
          <w:p>
            <w:pPr>
              <w:pStyle w:val="TAL"/>
              <w:rPr>
                <w:rFonts w:cs="Arial"/>
                <w:kern w:val="2"/>
                <w:szCs w:val="18"/>
              </w:rPr>
            </w:pPr>
            <w:r>
              <w:rPr>
                <w:rFonts w:cs="Arial"/>
                <w:kern w:val="2"/>
                <w:szCs w:val="18"/>
              </w:rPr>
              <w:t>FR1_30kHz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12</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pPr>
            <w:r>
              <w:rPr>
                <w:rFonts w:cs="Arial"/>
                <w:kern w:val="2"/>
                <w:szCs w:val="18"/>
              </w:rPr>
              <w:t xml:space="preserve">    nrofUplinkSlots</w:t>
            </w:r>
          </w:p>
        </w:tc>
        <w:tc>
          <w:tcPr>
            <w:tcW w:w="2267" w:type="dxa"/>
          </w:tcPr>
          <w:p>
            <w:pPr>
              <w:pStyle w:val="TAL"/>
            </w:pPr>
            <w:r>
              <w:rPr>
                <w:rFonts w:cs="Arial"/>
                <w:kern w:val="2"/>
                <w:szCs w:val="18"/>
              </w:rPr>
              <w:t>3</w:t>
            </w:r>
          </w:p>
        </w:tc>
        <w:tc>
          <w:tcPr>
            <w:tcW w:w="1700" w:type="dxa"/>
          </w:tcPr>
          <w:p>
            <w:pPr>
              <w:pStyle w:val="TAL"/>
            </w:pPr>
          </w:p>
        </w:tc>
        <w:tc>
          <w:tcPr>
            <w:tcW w:w="1245" w:type="dxa"/>
          </w:tcPr>
          <w:p>
            <w:pPr>
              <w:pStyle w:val="TAL"/>
            </w:pPr>
            <w:r>
              <w:rPr>
                <w:rFonts w:cs="Arial"/>
                <w:kern w:val="2"/>
                <w:szCs w:val="18"/>
              </w:rPr>
              <w:t>FR1_15kHz,FR1_30kHz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4</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rPr>
                <w:rFonts w:cs="Arial"/>
                <w:kern w:val="2"/>
                <w:szCs w:val="18"/>
              </w:rPr>
            </w:pPr>
            <w:r>
              <w:rPr>
                <w:rFonts w:cs="Arial"/>
                <w:kern w:val="2"/>
                <w:szCs w:val="18"/>
              </w:rPr>
              <w:t xml:space="preserve">    nrofUplinkSymbols</w:t>
            </w:r>
          </w:p>
        </w:tc>
        <w:tc>
          <w:tcPr>
            <w:tcW w:w="2267" w:type="dxa"/>
          </w:tcPr>
          <w:p>
            <w:pPr>
              <w:pStyle w:val="TAL"/>
              <w:rPr>
                <w:rFonts w:cs="Arial"/>
                <w:kern w:val="2"/>
                <w:szCs w:val="18"/>
              </w:rPr>
            </w:pPr>
            <w:r>
              <w:rPr>
                <w:rFonts w:cs="Arial"/>
                <w:kern w:val="2"/>
                <w:szCs w:val="18"/>
              </w:rPr>
              <w:t>4</w:t>
            </w:r>
          </w:p>
        </w:tc>
        <w:tc>
          <w:tcPr>
            <w:tcW w:w="1700" w:type="dxa"/>
          </w:tcPr>
          <w:p>
            <w:pPr>
              <w:pStyle w:val="TAL"/>
            </w:pPr>
          </w:p>
        </w:tc>
        <w:tc>
          <w:tcPr>
            <w:tcW w:w="1245" w:type="dxa"/>
          </w:tcPr>
          <w:p>
            <w:pPr>
              <w:pStyle w:val="TAL"/>
              <w:rPr>
                <w:rFonts w:cs="Arial"/>
                <w:kern w:val="2"/>
                <w:szCs w:val="18"/>
              </w:rPr>
            </w:pPr>
            <w:r>
              <w:rPr>
                <w:rFonts w:cs="Arial"/>
                <w:kern w:val="2"/>
                <w:szCs w:val="18"/>
              </w:rPr>
              <w:t>FR1_30kHz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2</w:t>
            </w:r>
          </w:p>
        </w:tc>
        <w:tc>
          <w:tcPr>
            <w:tcW w:w="1700" w:type="dxa"/>
          </w:tcPr>
          <w:p>
            <w:pPr>
              <w:pStyle w:val="TAL"/>
            </w:pPr>
          </w:p>
        </w:tc>
        <w:tc>
          <w:tcPr>
            <w:tcW w:w="1245" w:type="dxa"/>
          </w:tcPr>
          <w:p>
            <w:pPr>
              <w:pStyle w:val="TAL"/>
              <w:rPr>
                <w:rFonts w:cs="Arial"/>
                <w:kern w:val="2"/>
                <w:szCs w:val="18"/>
              </w:rPr>
            </w:pPr>
            <w:r>
              <w:rPr>
                <w:rFonts w:cs="Arial"/>
                <w:kern w:val="2"/>
                <w:szCs w:val="18"/>
              </w:rPr>
              <w:t>FR1_15kHz,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8</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rPr>
                <w:rFonts w:cs="Arial"/>
                <w:kern w:val="2"/>
                <w:szCs w:val="18"/>
              </w:rPr>
            </w:pPr>
          </w:p>
        </w:tc>
        <w:tc>
          <w:tcPr>
            <w:tcW w:w="2267" w:type="dxa"/>
          </w:tcPr>
          <w:p>
            <w:pPr>
              <w:pStyle w:val="TAL"/>
              <w:rPr>
                <w:rFonts w:cs="Arial"/>
                <w:kern w:val="2"/>
                <w:szCs w:val="18"/>
              </w:rPr>
            </w:pPr>
          </w:p>
        </w:tc>
        <w:tc>
          <w:tcPr>
            <w:tcW w:w="1700" w:type="dxa"/>
          </w:tcPr>
          <w:p>
            <w:pPr>
              <w:pStyle w:val="TAL"/>
            </w:pPr>
          </w:p>
        </w:tc>
        <w:tc>
          <w:tcPr>
            <w:tcW w:w="1245" w:type="dxa"/>
          </w:tcPr>
          <w:p>
            <w:pPr>
              <w:pStyle w:val="TAL"/>
              <w:rPr>
                <w:rFonts w:cs="Arial"/>
                <w:kern w:val="2"/>
                <w:szCs w:val="18"/>
              </w:rPr>
            </w:pPr>
          </w:p>
        </w:tc>
      </w:tr>
      <w:tr>
        <w:tc>
          <w:tcPr>
            <w:tcW w:w="4535" w:type="dxa"/>
          </w:tcPr>
          <w:p>
            <w:pPr>
              <w:pStyle w:val="TAL"/>
            </w:pPr>
            <w:r>
              <w:rPr>
                <w:rFonts w:cs="Arial"/>
                <w:kern w:val="2"/>
                <w:szCs w:val="18"/>
              </w:rPr>
              <w:t xml:space="preserve">  }</w:t>
            </w:r>
          </w:p>
        </w:tc>
        <w:tc>
          <w:tcPr>
            <w:tcW w:w="2267" w:type="dxa"/>
          </w:tcPr>
          <w:p>
            <w:pPr>
              <w:pStyle w:val="TAL"/>
              <w:rPr>
                <w:rFonts w:cs="Arial"/>
                <w:kern w:val="2"/>
                <w:szCs w:val="18"/>
              </w:rPr>
            </w:pPr>
          </w:p>
        </w:tc>
        <w:tc>
          <w:tcPr>
            <w:tcW w:w="1700" w:type="dxa"/>
          </w:tcPr>
          <w:p>
            <w:pPr>
              <w:pStyle w:val="TAL"/>
            </w:pPr>
          </w:p>
        </w:tc>
        <w:tc>
          <w:tcPr>
            <w:tcW w:w="1245" w:type="dxa"/>
          </w:tcPr>
          <w:p>
            <w:pPr>
              <w:pStyle w:val="TAL"/>
              <w:rPr>
                <w:rFonts w:cs="Arial"/>
                <w:kern w:val="2"/>
                <w:szCs w:val="18"/>
              </w:rPr>
            </w:pPr>
          </w:p>
        </w:tc>
      </w:tr>
      <w:tr>
        <w:tc>
          <w:tcPr>
            <w:tcW w:w="4535" w:type="dxa"/>
          </w:tcPr>
          <w:p>
            <w:pPr>
              <w:pStyle w:val="TAL"/>
            </w:pPr>
            <w:r>
              <w:rPr>
                <w:rFonts w:cs="Arial"/>
                <w:kern w:val="2"/>
                <w:szCs w:val="18"/>
              </w:rPr>
              <w:t xml:space="preserve">  pattern2</w:t>
            </w:r>
          </w:p>
        </w:tc>
        <w:tc>
          <w:tcPr>
            <w:tcW w:w="2267" w:type="dxa"/>
          </w:tcPr>
          <w:p>
            <w:pPr>
              <w:pStyle w:val="TAL"/>
              <w:rPr>
                <w:rFonts w:cs="Arial"/>
                <w:kern w:val="2"/>
                <w:szCs w:val="18"/>
              </w:rPr>
            </w:pPr>
            <w:r>
              <w:rPr>
                <w:rFonts w:cs="Arial"/>
                <w:kern w:val="2"/>
                <w:szCs w:val="18"/>
              </w:rPr>
              <w:t>Not present</w:t>
            </w:r>
          </w:p>
        </w:tc>
        <w:tc>
          <w:tcPr>
            <w:tcW w:w="1700" w:type="dxa"/>
          </w:tcPr>
          <w:p>
            <w:pPr>
              <w:pStyle w:val="TAL"/>
            </w:pPr>
          </w:p>
        </w:tc>
        <w:tc>
          <w:tcPr>
            <w:tcW w:w="1245" w:type="dxa"/>
          </w:tcPr>
          <w:p>
            <w:pPr>
              <w:pStyle w:val="TAL"/>
              <w:rPr>
                <w:rFonts w:cs="Arial"/>
                <w:kern w:val="2"/>
                <w:szCs w:val="18"/>
              </w:rPr>
            </w:pPr>
          </w:p>
        </w:tc>
      </w:tr>
      <w:tr>
        <w:tc>
          <w:tcPr>
            <w:tcW w:w="4535" w:type="dxa"/>
            <w:tcBorders>
              <w:bottom w:val="single" w:sz="4" w:space="0" w:color="auto"/>
            </w:tcBorders>
          </w:tcPr>
          <w:p>
            <w:pPr>
              <w:pStyle w:val="TAL"/>
            </w:pPr>
            <w:r>
              <w:t>}</w:t>
            </w:r>
          </w:p>
        </w:tc>
        <w:tc>
          <w:tcPr>
            <w:tcW w:w="2267" w:type="dxa"/>
          </w:tcPr>
          <w:p>
            <w:pPr>
              <w:pStyle w:val="TAL"/>
            </w:pPr>
          </w:p>
        </w:tc>
        <w:tc>
          <w:tcPr>
            <w:tcW w:w="1700" w:type="dxa"/>
          </w:tcPr>
          <w:p>
            <w:pPr>
              <w:pStyle w:val="TAL"/>
            </w:pPr>
          </w:p>
        </w:tc>
        <w:tc>
          <w:tcPr>
            <w:tcW w:w="1245" w:type="dxa"/>
          </w:tcPr>
          <w:p>
            <w:pPr>
              <w:pStyle w:val="TAL"/>
            </w:pPr>
          </w:p>
        </w:tc>
      </w:tr>
    </w:tbl>
    <w:p>
      <w:pPr>
        <w:rPr>
          <w:lang w:eastAsia="zh-CN"/>
        </w:rPr>
      </w:pPr>
    </w:p>
    <w:p>
      <w:pPr>
        <w:pStyle w:val="H6"/>
      </w:pPr>
      <w:r>
        <w:t>6.4.2.1a.5</w:t>
      </w:r>
      <w:r>
        <w:tab/>
        <w:t>Test requirement</w:t>
      </w:r>
    </w:p>
    <w:p>
      <w:r>
        <w:t xml:space="preserve">The </w:t>
      </w:r>
      <w:r>
        <w:rPr>
          <w:lang w:eastAsia="zh-CN"/>
        </w:rPr>
        <w:t xml:space="preserve">PUSCH </w:t>
      </w:r>
      <w:r>
        <w:t>EVM, derived in Annex E.4.2, shall not exceed the values in Table 6.4.2.1a.5-1.</w:t>
      </w:r>
    </w:p>
    <w:p>
      <w:pPr>
        <w:rPr>
          <w:lang w:eastAsia="zh-CN"/>
        </w:rPr>
      </w:pPr>
      <w:r>
        <w:t xml:space="preserve">The </w:t>
      </w:r>
      <w:r>
        <w:rPr>
          <w:lang w:eastAsia="zh-CN"/>
        </w:rPr>
        <w:t>PUSCH</w:t>
      </w:r>
      <w:r>
        <w:rPr>
          <w:position w:val="-6"/>
        </w:rPr>
        <w:object w:dxaOrig="1020" w:dyaOrig="340">
          <v:shape id="_x0000_i1027" type="#_x0000_t75" style="width:50.25pt;height:17pt" o:ole="">
            <v:imagedata r:id="rId15" o:title=""/>
          </v:shape>
          <o:OLEObject Type="Embed" ProgID="Equation.3" ShapeID="_x0000_i1027" DrawAspect="Content" ObjectID="_1713161956" r:id="rId17"/>
        </w:object>
      </w:r>
      <w:r>
        <w:t>,</w:t>
      </w:r>
      <w:r>
        <w:rPr>
          <w:lang w:eastAsia="zh-CN"/>
        </w:rPr>
        <w:t xml:space="preserve"> </w:t>
      </w:r>
      <w:r>
        <w:t>derived in Annex E.4.6.2</w:t>
      </w:r>
      <w:r>
        <w:rPr>
          <w:lang w:eastAsia="zh-CN"/>
        </w:rPr>
        <w:t>,</w:t>
      </w:r>
      <w:r>
        <w:t xml:space="preserve"> shall not exceed the values in Table 6.4.2.1a.5-1 </w:t>
      </w:r>
      <w:r>
        <w:rPr>
          <w:lang w:eastAsia="zh-CN"/>
        </w:rPr>
        <w:t>when embedded with data symbols of the respective modulation scheme</w:t>
      </w:r>
      <w:r>
        <w:t>.</w:t>
      </w:r>
    </w:p>
    <w:p>
      <w:pPr>
        <w:pStyle w:val="TH"/>
        <w:rPr>
          <w:lang w:eastAsia="zh-CN"/>
        </w:rPr>
      </w:pPr>
      <w:r>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trPr>
        <w:tc>
          <w:tcPr>
            <w:tcW w:w="3256" w:type="dxa"/>
          </w:tcPr>
          <w:p>
            <w:pPr>
              <w:pStyle w:val="TAH"/>
            </w:pPr>
            <w:r>
              <w:br w:type="page"/>
              <w:t>Parameter</w:t>
            </w:r>
          </w:p>
        </w:tc>
        <w:tc>
          <w:tcPr>
            <w:tcW w:w="1135" w:type="dxa"/>
          </w:tcPr>
          <w:p>
            <w:pPr>
              <w:pStyle w:val="TAH"/>
            </w:pPr>
            <w:r>
              <w:t>Unit</w:t>
            </w:r>
          </w:p>
        </w:tc>
        <w:tc>
          <w:tcPr>
            <w:tcW w:w="3332" w:type="dxa"/>
          </w:tcPr>
          <w:p>
            <w:pPr>
              <w:pStyle w:val="TAH"/>
            </w:pPr>
            <w:r>
              <w:t>Average EVM Level</w:t>
            </w:r>
          </w:p>
        </w:tc>
      </w:tr>
      <w:tr>
        <w:trPr>
          <w:jc w:val="center"/>
        </w:trPr>
        <w:tc>
          <w:tcPr>
            <w:tcW w:w="3256" w:type="dxa"/>
          </w:tcPr>
          <w:p>
            <w:pPr>
              <w:pStyle w:val="TAL"/>
            </w:pPr>
            <w:r>
              <w:rPr>
                <w:lang w:eastAsia="zh-CN"/>
              </w:rPr>
              <w:t>64</w:t>
            </w:r>
            <w:r>
              <w:rPr>
                <w:rFonts w:eastAsia="Malgun Gothic"/>
              </w:rPr>
              <w:t xml:space="preserve"> </w:t>
            </w:r>
            <w:r>
              <w:t xml:space="preserve">QAM </w:t>
            </w:r>
          </w:p>
        </w:tc>
        <w:tc>
          <w:tcPr>
            <w:tcW w:w="1135" w:type="dxa"/>
          </w:tcPr>
          <w:p>
            <w:pPr>
              <w:pStyle w:val="TAC"/>
            </w:pPr>
            <w:r>
              <w:t>%</w:t>
            </w:r>
          </w:p>
        </w:tc>
        <w:tc>
          <w:tcPr>
            <w:tcW w:w="3332" w:type="dxa"/>
          </w:tcPr>
          <w:p>
            <w:pPr>
              <w:pStyle w:val="TAC"/>
            </w:pPr>
            <w:del w:id="25" w:author="Kevin Wang (QMC)" w:date="2022-04-18T14:58:00Z">
              <w:r>
                <w:rPr>
                  <w:lang w:eastAsia="zh-CN"/>
                </w:rPr>
                <w:delText>[</w:delText>
              </w:r>
            </w:del>
            <w:r>
              <w:rPr>
                <w:lang w:eastAsia="zh-CN"/>
              </w:rPr>
              <w:t>10</w:t>
            </w:r>
            <w:del w:id="26" w:author="Kevin Wang (QMC)" w:date="2022-04-18T14:58:00Z">
              <w:r>
                <w:rPr>
                  <w:lang w:eastAsia="zh-CN"/>
                </w:rPr>
                <w:delText>]</w:delText>
              </w:r>
            </w:del>
            <w:r>
              <w:rPr>
                <w:lang w:eastAsia="zh-CN"/>
              </w:rPr>
              <w:t xml:space="preserve"> </w:t>
            </w:r>
            <w:r>
              <w:t>+ TT</w:t>
            </w:r>
          </w:p>
        </w:tc>
      </w:tr>
      <w:tr>
        <w:trPr>
          <w:jc w:val="center"/>
        </w:trPr>
        <w:tc>
          <w:tcPr>
            <w:tcW w:w="3256" w:type="dxa"/>
          </w:tcPr>
          <w:p>
            <w:pPr>
              <w:pStyle w:val="TAL"/>
              <w:rPr>
                <w:lang w:eastAsia="zh-CN"/>
              </w:rPr>
            </w:pPr>
            <w:r>
              <w:rPr>
                <w:lang w:eastAsia="zh-CN"/>
              </w:rPr>
              <w:t>256 QAM</w:t>
            </w:r>
          </w:p>
        </w:tc>
        <w:tc>
          <w:tcPr>
            <w:tcW w:w="1135" w:type="dxa"/>
          </w:tcPr>
          <w:p>
            <w:pPr>
              <w:pStyle w:val="TAC"/>
            </w:pPr>
            <w:r>
              <w:t>%</w:t>
            </w:r>
          </w:p>
        </w:tc>
        <w:tc>
          <w:tcPr>
            <w:tcW w:w="3332" w:type="dxa"/>
          </w:tcPr>
          <w:p>
            <w:pPr>
              <w:pStyle w:val="TAC"/>
              <w:rPr>
                <w:lang w:eastAsia="zh-CN"/>
              </w:rPr>
            </w:pPr>
            <w:del w:id="27" w:author="Kevin Wang (QMC)" w:date="2022-04-18T14:58:00Z">
              <w:r>
                <w:rPr>
                  <w:lang w:eastAsia="zh-CN"/>
                </w:rPr>
                <w:delText>[</w:delText>
              </w:r>
            </w:del>
            <w:r>
              <w:rPr>
                <w:lang w:eastAsia="zh-CN"/>
              </w:rPr>
              <w:t>8</w:t>
            </w:r>
            <w:del w:id="28" w:author="Kevin Wang (QMC)" w:date="2022-04-18T14:58:00Z">
              <w:r>
                <w:rPr>
                  <w:lang w:eastAsia="zh-CN"/>
                </w:rPr>
                <w:delText>]</w:delText>
              </w:r>
            </w:del>
            <w:r>
              <w:rPr>
                <w:lang w:eastAsia="zh-CN"/>
              </w:rPr>
              <w:t xml:space="preserve"> + TT</w:t>
            </w:r>
          </w:p>
        </w:tc>
      </w:tr>
      <w:tr>
        <w:trPr>
          <w:jc w:val="center"/>
        </w:trPr>
        <w:tc>
          <w:tcPr>
            <w:tcW w:w="7723" w:type="dxa"/>
            <w:gridSpan w:val="3"/>
          </w:tcPr>
          <w:p>
            <w:pPr>
              <w:pStyle w:val="TAN"/>
              <w:rPr>
                <w:rFonts w:cs="v5.0.0"/>
                <w:lang w:eastAsia="zh-CN"/>
              </w:rPr>
            </w:pPr>
            <w:r>
              <w:rPr>
                <w:rFonts w:cs="v5.0.0"/>
                <w:lang w:eastAsia="zh-CN"/>
              </w:rPr>
              <w:t>Note 1</w:t>
            </w:r>
            <w:r>
              <w:t>:</w:t>
            </w:r>
            <w:r>
              <w:tab/>
              <w:t>TT is defined in Table 6.4.2.1a.5-2.</w:t>
            </w:r>
          </w:p>
        </w:tc>
      </w:tr>
    </w:tbl>
    <w:p/>
    <w:p>
      <w:pPr>
        <w:pStyle w:val="TH"/>
        <w:rPr>
          <w:lang w:eastAsia="zh-CN"/>
        </w:rPr>
      </w:pPr>
      <w:r>
        <w:t>Table 6.4.2.1a.5-2: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trPr>
        <w:tc>
          <w:tcPr>
            <w:tcW w:w="3256" w:type="dxa"/>
          </w:tcPr>
          <w:p>
            <w:pPr>
              <w:pStyle w:val="TAH"/>
            </w:pPr>
            <w:r>
              <w:br w:type="page"/>
              <w:t>Parameter</w:t>
            </w:r>
          </w:p>
        </w:tc>
        <w:tc>
          <w:tcPr>
            <w:tcW w:w="1135" w:type="dxa"/>
          </w:tcPr>
          <w:p>
            <w:pPr>
              <w:pStyle w:val="TAH"/>
            </w:pPr>
            <w:r>
              <w:t>Unit</w:t>
            </w:r>
          </w:p>
        </w:tc>
        <w:tc>
          <w:tcPr>
            <w:tcW w:w="3332" w:type="dxa"/>
          </w:tcPr>
          <w:p>
            <w:pPr>
              <w:pStyle w:val="TAH"/>
            </w:pPr>
            <w:r>
              <w:t>Average EVM Level</w:t>
            </w:r>
          </w:p>
        </w:tc>
      </w:tr>
      <w:tr>
        <w:trPr>
          <w:jc w:val="center"/>
        </w:trPr>
        <w:tc>
          <w:tcPr>
            <w:tcW w:w="3256" w:type="dxa"/>
          </w:tcPr>
          <w:p>
            <w:pPr>
              <w:pStyle w:val="TAL"/>
            </w:pPr>
            <w:r>
              <w:rPr>
                <w:lang w:eastAsia="zh-CN"/>
              </w:rPr>
              <w:t>64</w:t>
            </w:r>
            <w:r>
              <w:rPr>
                <w:rFonts w:eastAsia="Malgun Gothic"/>
              </w:rPr>
              <w:t xml:space="preserve"> </w:t>
            </w:r>
            <w:r>
              <w:t xml:space="preserve">QAM </w:t>
            </w:r>
          </w:p>
        </w:tc>
        <w:tc>
          <w:tcPr>
            <w:tcW w:w="1135" w:type="dxa"/>
          </w:tcPr>
          <w:p>
            <w:pPr>
              <w:pStyle w:val="TAC"/>
            </w:pPr>
            <w:r>
              <w:t>%</w:t>
            </w:r>
          </w:p>
        </w:tc>
        <w:tc>
          <w:tcPr>
            <w:tcW w:w="3332" w:type="dxa"/>
          </w:tcPr>
          <w:p>
            <w:pPr>
              <w:pStyle w:val="TAC"/>
            </w:pPr>
            <w:r>
              <w:rPr>
                <w:lang w:eastAsia="zh-CN"/>
              </w:rPr>
              <w:t>0</w:t>
            </w:r>
          </w:p>
        </w:tc>
      </w:tr>
      <w:tr>
        <w:trPr>
          <w:jc w:val="center"/>
        </w:trPr>
        <w:tc>
          <w:tcPr>
            <w:tcW w:w="3256" w:type="dxa"/>
          </w:tcPr>
          <w:p>
            <w:pPr>
              <w:pStyle w:val="TAL"/>
              <w:rPr>
                <w:lang w:eastAsia="zh-CN"/>
              </w:rPr>
            </w:pPr>
            <w:r>
              <w:rPr>
                <w:lang w:eastAsia="zh-CN"/>
              </w:rPr>
              <w:t>256 QAM</w:t>
            </w:r>
          </w:p>
        </w:tc>
        <w:tc>
          <w:tcPr>
            <w:tcW w:w="1135" w:type="dxa"/>
          </w:tcPr>
          <w:p>
            <w:pPr>
              <w:pStyle w:val="TAC"/>
            </w:pPr>
            <w:r>
              <w:t>%</w:t>
            </w:r>
          </w:p>
        </w:tc>
        <w:tc>
          <w:tcPr>
            <w:tcW w:w="3332" w:type="dxa"/>
          </w:tcPr>
          <w:p>
            <w:pPr>
              <w:pStyle w:val="TAC"/>
              <w:rPr>
                <w:lang w:eastAsia="zh-CN"/>
              </w:rPr>
            </w:pPr>
            <w:r>
              <w:rPr>
                <w:lang w:eastAsia="zh-CN"/>
              </w:rPr>
              <w:t>0.3 for 15 dBm &lt; P</w:t>
            </w:r>
            <w:r>
              <w:rPr>
                <w:vertAlign w:val="subscript"/>
                <w:lang w:eastAsia="zh-CN"/>
              </w:rPr>
              <w:t>UL</w:t>
            </w:r>
          </w:p>
          <w:p>
            <w:pPr>
              <w:pStyle w:val="TAC"/>
              <w:rPr>
                <w:lang w:eastAsia="zh-CN"/>
              </w:rPr>
            </w:pPr>
            <w:r>
              <w:rPr>
                <w:lang w:eastAsia="zh-CN"/>
              </w:rPr>
              <w:t>0.8 for -25 dBm &lt; P</w:t>
            </w:r>
            <w:r>
              <w:rPr>
                <w:vertAlign w:val="subscript"/>
                <w:lang w:eastAsia="zh-CN"/>
              </w:rPr>
              <w:t>UL</w:t>
            </w:r>
            <w:r>
              <w:rPr>
                <w:rFonts w:cs="Arial"/>
                <w:lang w:eastAsia="zh-CN"/>
              </w:rPr>
              <w:t>≤</w:t>
            </w:r>
            <w:r>
              <w:rPr>
                <w:lang w:eastAsia="zh-CN"/>
              </w:rPr>
              <w:t xml:space="preserve"> 15 dBm</w:t>
            </w:r>
          </w:p>
          <w:p>
            <w:pPr>
              <w:pStyle w:val="TAC"/>
              <w:rPr>
                <w:lang w:eastAsia="zh-CN"/>
              </w:rPr>
            </w:pPr>
            <w:r>
              <w:rPr>
                <w:lang w:eastAsia="zh-CN"/>
              </w:rPr>
              <w:t xml:space="preserve">1.1 for -40dBm </w:t>
            </w:r>
            <w:r>
              <w:rPr>
                <w:rFonts w:cs="Arial"/>
                <w:lang w:eastAsia="zh-CN"/>
              </w:rPr>
              <w:t>≤</w:t>
            </w:r>
            <w:r>
              <w:rPr>
                <w:lang w:eastAsia="zh-CN"/>
              </w:rPr>
              <w:t xml:space="preserve"> P</w:t>
            </w:r>
            <w:r>
              <w:rPr>
                <w:vertAlign w:val="subscript"/>
                <w:lang w:eastAsia="zh-CN"/>
              </w:rPr>
              <w:t>UL</w:t>
            </w:r>
            <w:r>
              <w:rPr>
                <w:lang w:eastAsia="zh-CN"/>
              </w:rPr>
              <w:t xml:space="preserve"> </w:t>
            </w:r>
            <w:r>
              <w:rPr>
                <w:rFonts w:cs="Arial"/>
                <w:lang w:eastAsia="zh-CN"/>
              </w:rPr>
              <w:t>≤</w:t>
            </w:r>
            <w:r>
              <w:rPr>
                <w:lang w:eastAsia="zh-CN"/>
              </w:rPr>
              <w:t xml:space="preserve"> -25dBm</w:t>
            </w:r>
          </w:p>
        </w:tc>
      </w:tr>
    </w:tbl>
    <w:p/>
    <w:p>
      <w:pPr>
        <w:rPr>
          <w:b/>
          <w:bCs/>
          <w:sz w:val="32"/>
          <w:szCs w:val="32"/>
        </w:rPr>
      </w:pPr>
      <w:r>
        <w:rPr>
          <w:b/>
          <w:bCs/>
          <w:sz w:val="32"/>
          <w:szCs w:val="32"/>
          <w:highlight w:val="yellow"/>
        </w:rPr>
        <w:t>&lt;&lt; End of changes &gt;&gt;</w:t>
      </w:r>
    </w:p>
    <w:p>
      <w:pPr>
        <w:rPr>
          <w:noProof/>
        </w:rPr>
      </w:pP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TF0">
    <w:name w:val="TF字符"/>
    <w:aliases w:val="left字符"/>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5</Pages>
  <Words>1863</Words>
  <Characters>11375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73</cp:revision>
  <cp:lastPrinted>1900-01-01T08:00:00Z</cp:lastPrinted>
  <dcterms:created xsi:type="dcterms:W3CDTF">2020-02-03T08:32:00Z</dcterms:created>
  <dcterms:modified xsi:type="dcterms:W3CDTF">2022-05-04T16:29:00Z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